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401" w:type="pct"/>
        <w:tblInd w:w="-431" w:type="dxa"/>
        <w:tblLook w:val="04A0" w:firstRow="1" w:lastRow="0" w:firstColumn="1" w:lastColumn="0" w:noHBand="0" w:noVBand="1"/>
      </w:tblPr>
      <w:tblGrid>
        <w:gridCol w:w="2638"/>
        <w:gridCol w:w="2976"/>
        <w:gridCol w:w="4837"/>
      </w:tblGrid>
      <w:tr w:rsidR="00F1219A" w:rsidRPr="00B93462" w:rsidTr="00EF7401">
        <w:trPr>
          <w:trHeight w:val="1047"/>
        </w:trPr>
        <w:tc>
          <w:tcPr>
            <w:tcW w:w="5000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hideMark/>
          </w:tcPr>
          <w:p w:rsidR="00CB3E7A" w:rsidRDefault="00CB3E7A" w:rsidP="008856B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F1219A" w:rsidRPr="00B93462" w:rsidRDefault="00F1219A" w:rsidP="008856B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93462">
              <w:rPr>
                <w:rFonts w:ascii="Arial" w:hAnsi="Arial" w:cs="Arial"/>
                <w:b/>
                <w:color w:val="FFFFFF" w:themeColor="background1"/>
              </w:rPr>
              <w:t>INFORME PORMENORIZADO DEL ESTADO DEL CONTROL INTERNO – LEY 1474</w:t>
            </w:r>
            <w:r>
              <w:rPr>
                <w:rFonts w:ascii="Arial" w:hAnsi="Arial" w:cs="Arial"/>
                <w:b/>
                <w:color w:val="FFFFFF" w:themeColor="background1"/>
              </w:rPr>
              <w:t>/</w:t>
            </w:r>
            <w:r w:rsidRPr="00B93462">
              <w:rPr>
                <w:rFonts w:ascii="Arial" w:hAnsi="Arial" w:cs="Arial"/>
                <w:b/>
                <w:color w:val="FFFFFF" w:themeColor="background1"/>
              </w:rPr>
              <w:t xml:space="preserve"> 2011</w:t>
            </w:r>
          </w:p>
          <w:p w:rsidR="00F1219A" w:rsidRDefault="00F1219A" w:rsidP="008856B3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B93462">
              <w:rPr>
                <w:rFonts w:ascii="Arial" w:hAnsi="Arial" w:cs="Arial"/>
                <w:b/>
                <w:color w:val="FFFFFF" w:themeColor="background1"/>
              </w:rPr>
              <w:t>CONTRALORIA GENERAL DEL DEPARTAMENTO</w:t>
            </w:r>
          </w:p>
          <w:p w:rsidR="00F1219A" w:rsidRPr="00B93462" w:rsidRDefault="00F1219A" w:rsidP="001279A5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B93462">
              <w:rPr>
                <w:rFonts w:ascii="Arial" w:hAnsi="Arial" w:cs="Arial"/>
                <w:b/>
                <w:color w:val="FFFFFF" w:themeColor="background1"/>
              </w:rPr>
              <w:t>ARCHIPIÉLAGO DE SAN ANDRES, PROVIDENCIA Y SANTA CATALINA</w:t>
            </w:r>
          </w:p>
        </w:tc>
      </w:tr>
      <w:tr w:rsidR="00F1219A" w:rsidRPr="009C3216" w:rsidTr="00764878">
        <w:trPr>
          <w:trHeight w:val="591"/>
        </w:trPr>
        <w:tc>
          <w:tcPr>
            <w:tcW w:w="1262" w:type="pct"/>
            <w:vMerge w:val="restart"/>
            <w:tcBorders>
              <w:top w:val="double" w:sz="4" w:space="0" w:color="FFFFFF" w:themeColor="background1"/>
              <w:left w:val="single" w:sz="4" w:space="0" w:color="FFFFFF" w:themeColor="background1"/>
              <w:right w:val="double" w:sz="4" w:space="0" w:color="FFFFFF" w:themeColor="background1"/>
            </w:tcBorders>
            <w:shd w:val="clear" w:color="auto" w:fill="244061" w:themeFill="accent1" w:themeFillShade="80"/>
          </w:tcPr>
          <w:p w:rsidR="00656B99" w:rsidRPr="009C3216" w:rsidRDefault="00656B99" w:rsidP="008856B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F1219A" w:rsidRPr="009C3216" w:rsidRDefault="00F1219A" w:rsidP="008856B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C3216">
              <w:rPr>
                <w:rFonts w:ascii="Arial" w:hAnsi="Arial" w:cs="Arial"/>
                <w:b/>
                <w:color w:val="FFFFFF" w:themeColor="background1"/>
              </w:rPr>
              <w:t>Jefe de Control Interno, o quien haga sus veces</w:t>
            </w:r>
          </w:p>
        </w:tc>
        <w:tc>
          <w:tcPr>
            <w:tcW w:w="1424" w:type="pct"/>
            <w:vMerge w:val="restart"/>
            <w:tcBorders>
              <w:top w:val="double" w:sz="4" w:space="0" w:color="FFFFFF" w:themeColor="background1"/>
              <w:left w:val="double" w:sz="4" w:space="0" w:color="FFFFFF" w:themeColor="background1"/>
              <w:right w:val="double" w:sz="4" w:space="0" w:color="FFFFFF" w:themeColor="background1"/>
            </w:tcBorders>
            <w:shd w:val="clear" w:color="auto" w:fill="244061" w:themeFill="accent1" w:themeFillShade="80"/>
          </w:tcPr>
          <w:p w:rsidR="00F1219A" w:rsidRPr="009C3216" w:rsidRDefault="00F1219A" w:rsidP="008856B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5F32E1" w:rsidRPr="009C3216" w:rsidRDefault="005F32E1" w:rsidP="008856B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F1219A" w:rsidRPr="009C3216" w:rsidRDefault="00F1219A" w:rsidP="008856B3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C3216">
              <w:rPr>
                <w:rFonts w:ascii="Arial" w:hAnsi="Arial" w:cs="Arial"/>
                <w:b/>
                <w:color w:val="FFFFFF" w:themeColor="background1"/>
              </w:rPr>
              <w:t>SOLYMAR POMARE GORDON</w:t>
            </w:r>
          </w:p>
        </w:tc>
        <w:tc>
          <w:tcPr>
            <w:tcW w:w="2314" w:type="pct"/>
            <w:tcBorders>
              <w:top w:val="double" w:sz="4" w:space="0" w:color="FFFFFF" w:themeColor="background1"/>
              <w:left w:val="double" w:sz="4" w:space="0" w:color="FFFFFF" w:themeColor="background1"/>
              <w:bottom w:val="doub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</w:tcPr>
          <w:p w:rsidR="00DD78A6" w:rsidRDefault="00DD78A6" w:rsidP="00BA086C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F1219A" w:rsidRPr="009C3216" w:rsidRDefault="00F1219A" w:rsidP="00341B9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C3216">
              <w:rPr>
                <w:rFonts w:ascii="Arial" w:hAnsi="Arial" w:cs="Arial"/>
                <w:b/>
                <w:color w:val="FFFFFF" w:themeColor="background1"/>
              </w:rPr>
              <w:t>Periodo Evaluado:</w:t>
            </w:r>
            <w:r w:rsidR="00BA086C" w:rsidRPr="009C3216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341B9A">
              <w:rPr>
                <w:rFonts w:ascii="Arial" w:hAnsi="Arial" w:cs="Arial"/>
                <w:b/>
                <w:color w:val="FFFFFF" w:themeColor="background1"/>
              </w:rPr>
              <w:t xml:space="preserve">marzo a junio </w:t>
            </w:r>
            <w:r w:rsidR="00341B9A" w:rsidRPr="009C3216">
              <w:rPr>
                <w:rFonts w:ascii="Arial" w:hAnsi="Arial" w:cs="Arial"/>
                <w:b/>
                <w:color w:val="FFFFFF" w:themeColor="background1"/>
              </w:rPr>
              <w:t>de</w:t>
            </w:r>
            <w:r w:rsidR="00511CBC" w:rsidRPr="009C3216">
              <w:rPr>
                <w:rFonts w:ascii="Arial" w:hAnsi="Arial" w:cs="Arial"/>
                <w:b/>
                <w:color w:val="FFFFFF" w:themeColor="background1"/>
              </w:rPr>
              <w:t xml:space="preserve"> 201</w:t>
            </w:r>
            <w:r w:rsidR="0001721C">
              <w:rPr>
                <w:rFonts w:ascii="Arial" w:hAnsi="Arial" w:cs="Arial"/>
                <w:b/>
                <w:color w:val="FFFFFF" w:themeColor="background1"/>
              </w:rPr>
              <w:t>7</w:t>
            </w:r>
            <w:r w:rsidR="00F2046E" w:rsidRPr="009C3216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</w:tc>
      </w:tr>
      <w:tr w:rsidR="00F1219A" w:rsidRPr="009C3216" w:rsidTr="00764878">
        <w:trPr>
          <w:trHeight w:val="576"/>
        </w:trPr>
        <w:tc>
          <w:tcPr>
            <w:tcW w:w="1262" w:type="pct"/>
            <w:vMerge/>
            <w:tcBorders>
              <w:left w:val="single" w:sz="4" w:space="0" w:color="FFFFFF" w:themeColor="background1"/>
              <w:right w:val="double" w:sz="4" w:space="0" w:color="FFFFFF" w:themeColor="background1"/>
            </w:tcBorders>
            <w:shd w:val="clear" w:color="auto" w:fill="244061" w:themeFill="accent1" w:themeFillShade="80"/>
          </w:tcPr>
          <w:p w:rsidR="00F1219A" w:rsidRPr="009C3216" w:rsidRDefault="00F1219A" w:rsidP="008856B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424" w:type="pct"/>
            <w:vMerge/>
            <w:tcBorders>
              <w:left w:val="double" w:sz="4" w:space="0" w:color="FFFFFF" w:themeColor="background1"/>
              <w:right w:val="double" w:sz="4" w:space="0" w:color="FFFFFF" w:themeColor="background1"/>
            </w:tcBorders>
            <w:shd w:val="clear" w:color="auto" w:fill="244061" w:themeFill="accent1" w:themeFillShade="80"/>
          </w:tcPr>
          <w:p w:rsidR="00F1219A" w:rsidRPr="009C3216" w:rsidRDefault="00F1219A" w:rsidP="008856B3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14" w:type="pct"/>
            <w:tcBorders>
              <w:top w:val="double" w:sz="4" w:space="0" w:color="FFFFFF" w:themeColor="background1"/>
              <w:left w:val="doub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</w:tcPr>
          <w:p w:rsidR="005F32E1" w:rsidRPr="009C3216" w:rsidRDefault="005F32E1" w:rsidP="00F2046E">
            <w:pPr>
              <w:rPr>
                <w:rFonts w:ascii="Arial" w:hAnsi="Arial" w:cs="Arial"/>
                <w:b/>
                <w:color w:val="FFFFFF" w:themeColor="background1"/>
              </w:rPr>
            </w:pPr>
          </w:p>
          <w:p w:rsidR="00656B99" w:rsidRPr="009C3216" w:rsidRDefault="00F1219A" w:rsidP="00341B9A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C3216">
              <w:rPr>
                <w:rFonts w:ascii="Arial" w:hAnsi="Arial" w:cs="Arial"/>
                <w:b/>
                <w:color w:val="FFFFFF" w:themeColor="background1"/>
              </w:rPr>
              <w:t>Fecha Elaboración:</w:t>
            </w:r>
            <w:r w:rsidR="00704629" w:rsidRPr="009C3216">
              <w:rPr>
                <w:rFonts w:ascii="Arial" w:hAnsi="Arial" w:cs="Arial"/>
                <w:b/>
                <w:color w:val="FFFFFF" w:themeColor="background1"/>
              </w:rPr>
              <w:t xml:space="preserve"> 1</w:t>
            </w:r>
            <w:r w:rsidR="00341B9A">
              <w:rPr>
                <w:rFonts w:ascii="Arial" w:hAnsi="Arial" w:cs="Arial"/>
                <w:b/>
                <w:color w:val="FFFFFF" w:themeColor="background1"/>
              </w:rPr>
              <w:t>2</w:t>
            </w:r>
            <w:r w:rsidRPr="009C3216">
              <w:rPr>
                <w:rFonts w:ascii="Arial" w:hAnsi="Arial" w:cs="Arial"/>
                <w:b/>
                <w:color w:val="FFFFFF" w:themeColor="background1"/>
              </w:rPr>
              <w:t xml:space="preserve"> de</w:t>
            </w:r>
            <w:r w:rsidR="00874119" w:rsidRPr="009C3216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341B9A">
              <w:rPr>
                <w:rFonts w:ascii="Arial" w:hAnsi="Arial" w:cs="Arial"/>
                <w:b/>
                <w:color w:val="FFFFFF" w:themeColor="background1"/>
              </w:rPr>
              <w:t>julio</w:t>
            </w:r>
            <w:r w:rsidR="00F2046E" w:rsidRPr="009C3216">
              <w:rPr>
                <w:rFonts w:ascii="Arial" w:hAnsi="Arial" w:cs="Arial"/>
                <w:b/>
                <w:color w:val="FFFFFF" w:themeColor="background1"/>
              </w:rPr>
              <w:t xml:space="preserve"> de 201</w:t>
            </w:r>
            <w:r w:rsidR="0001721C">
              <w:rPr>
                <w:rFonts w:ascii="Arial" w:hAnsi="Arial" w:cs="Arial"/>
                <w:b/>
                <w:color w:val="FFFFFF" w:themeColor="background1"/>
              </w:rPr>
              <w:t>7</w:t>
            </w:r>
            <w:r w:rsidR="00F2046E" w:rsidRPr="009C3216">
              <w:rPr>
                <w:rFonts w:ascii="Arial" w:hAnsi="Arial" w:cs="Arial"/>
                <w:b/>
                <w:color w:val="FFFFFF" w:themeColor="background1"/>
              </w:rPr>
              <w:t>.</w:t>
            </w:r>
          </w:p>
        </w:tc>
      </w:tr>
    </w:tbl>
    <w:tbl>
      <w:tblPr>
        <w:tblpPr w:leftFromText="141" w:rightFromText="141" w:vertAnchor="text" w:horzAnchor="page" w:tblpX="1229" w:tblpY="1"/>
        <w:tblW w:w="5828" w:type="pct"/>
        <w:tblCellSpacing w:w="15" w:type="dxa"/>
        <w:tblLayout w:type="fixed"/>
        <w:tblLook w:val="04A0" w:firstRow="1" w:lastRow="0" w:firstColumn="1" w:lastColumn="0" w:noHBand="0" w:noVBand="1"/>
      </w:tblPr>
      <w:tblGrid>
        <w:gridCol w:w="54"/>
        <w:gridCol w:w="10307"/>
        <w:gridCol w:w="37"/>
        <w:gridCol w:w="732"/>
      </w:tblGrid>
      <w:tr w:rsidR="006A66EF" w:rsidRPr="009C3216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05396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B3" w:rsidRPr="00884F74" w:rsidRDefault="008856B3" w:rsidP="006A66EF">
            <w:pPr>
              <w:pStyle w:val="Sinespaciado"/>
              <w:jc w:val="center"/>
              <w:rPr>
                <w:rStyle w:val="Textoennegrita"/>
                <w:rFonts w:ascii="Arial" w:hAnsi="Arial" w:cs="Arial"/>
                <w:color w:val="FFFFFF"/>
              </w:rPr>
            </w:pPr>
          </w:p>
          <w:p w:rsidR="006A66EF" w:rsidRPr="00884F74" w:rsidRDefault="00887F23" w:rsidP="006A66EF">
            <w:pPr>
              <w:pStyle w:val="Sinespaciado"/>
              <w:jc w:val="center"/>
              <w:rPr>
                <w:rStyle w:val="Textoennegrita"/>
                <w:rFonts w:ascii="Arial" w:hAnsi="Arial" w:cs="Arial"/>
                <w:color w:val="FFFFFF"/>
              </w:rPr>
            </w:pPr>
            <w:r w:rsidRPr="00884F74">
              <w:rPr>
                <w:rStyle w:val="Textoennegrita"/>
                <w:rFonts w:ascii="Arial" w:hAnsi="Arial" w:cs="Arial"/>
                <w:color w:val="FFFFFF"/>
              </w:rPr>
              <w:t>MODULO  DE CONTROL DE PLANEACIÓN Y GE</w:t>
            </w:r>
            <w:r w:rsidR="008856B3" w:rsidRPr="00884F74">
              <w:rPr>
                <w:rStyle w:val="Textoennegrita"/>
                <w:rFonts w:ascii="Arial" w:hAnsi="Arial" w:cs="Arial"/>
                <w:color w:val="FFFFFF"/>
              </w:rPr>
              <w:t>STIÓ</w:t>
            </w:r>
            <w:r w:rsidRPr="00884F74">
              <w:rPr>
                <w:rStyle w:val="Textoennegrita"/>
                <w:rFonts w:ascii="Arial" w:hAnsi="Arial" w:cs="Arial"/>
                <w:color w:val="FFFFFF"/>
              </w:rPr>
              <w:t xml:space="preserve">N </w:t>
            </w:r>
          </w:p>
          <w:p w:rsidR="001279A5" w:rsidRPr="00884F74" w:rsidRDefault="001279A5" w:rsidP="006A66EF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</w:tr>
      <w:tr w:rsidR="006A66EF" w:rsidRPr="0026544D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67829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84F74" w:rsidRDefault="006A66EF" w:rsidP="006A66EF">
            <w:pPr>
              <w:pStyle w:val="Sinespaciado"/>
              <w:rPr>
                <w:rStyle w:val="Textoennegrita"/>
                <w:rFonts w:ascii="Arial" w:hAnsi="Arial" w:cs="Arial"/>
                <w:color w:val="FFFFFF"/>
              </w:rPr>
            </w:pPr>
            <w:r w:rsidRPr="00884F74">
              <w:rPr>
                <w:rStyle w:val="Textoennegrita"/>
                <w:rFonts w:ascii="Arial" w:hAnsi="Arial" w:cs="Arial"/>
                <w:color w:val="FFFFFF"/>
              </w:rPr>
              <w:t>Dificultades</w:t>
            </w:r>
          </w:p>
          <w:p w:rsidR="00CB6350" w:rsidRPr="00884F74" w:rsidRDefault="00CB6350" w:rsidP="006A66EF">
            <w:pPr>
              <w:pStyle w:val="Sinespaciado"/>
              <w:rPr>
                <w:rFonts w:ascii="Arial" w:hAnsi="Arial" w:cs="Arial"/>
              </w:rPr>
            </w:pPr>
          </w:p>
        </w:tc>
      </w:tr>
      <w:tr w:rsidR="00DE523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42C9" w:rsidRPr="008B20CE" w:rsidRDefault="00AB42C9" w:rsidP="00AB42C9">
            <w:pPr>
              <w:jc w:val="both"/>
              <w:rPr>
                <w:rFonts w:ascii="Arial" w:hAnsi="Arial" w:cs="Arial"/>
                <w:lang w:eastAsia="es-CO"/>
              </w:rPr>
            </w:pPr>
          </w:p>
          <w:p w:rsidR="002F1D39" w:rsidRPr="008B20CE" w:rsidRDefault="00AB42C9" w:rsidP="002F1D39">
            <w:pPr>
              <w:jc w:val="both"/>
              <w:rPr>
                <w:rFonts w:ascii="Arial" w:hAnsi="Arial" w:cs="Arial"/>
                <w:lang w:eastAsia="es-CO"/>
              </w:rPr>
            </w:pPr>
            <w:r w:rsidRPr="008B20CE">
              <w:rPr>
                <w:rFonts w:ascii="Arial" w:hAnsi="Arial" w:cs="Arial"/>
                <w:lang w:eastAsia="es-CO"/>
              </w:rPr>
              <w:t xml:space="preserve">En el cumplimiento de algunas de las funciones por parte de los supervisores de contratos, las cuales se encuentran en </w:t>
            </w:r>
            <w:r w:rsidR="008B20CE" w:rsidRPr="008B20CE">
              <w:rPr>
                <w:rFonts w:ascii="Arial" w:hAnsi="Arial" w:cs="Arial"/>
                <w:lang w:eastAsia="es-CO"/>
              </w:rPr>
              <w:t>el Manual</w:t>
            </w:r>
            <w:r w:rsidRPr="008B20CE">
              <w:rPr>
                <w:rFonts w:ascii="Arial" w:hAnsi="Arial" w:cs="Arial"/>
                <w:lang w:eastAsia="es-CO"/>
              </w:rPr>
              <w:t xml:space="preserve"> de Supervisión e Interventoría de la Contraloría Departamental, adoptado y actualizado mediante la Resolución 501 de 2015</w:t>
            </w:r>
            <w:r w:rsidR="0085185F" w:rsidRPr="008B20CE">
              <w:rPr>
                <w:rFonts w:ascii="Arial" w:hAnsi="Arial" w:cs="Arial"/>
                <w:lang w:eastAsia="es-CO"/>
              </w:rPr>
              <w:t>.</w:t>
            </w:r>
          </w:p>
          <w:p w:rsidR="00397386" w:rsidRPr="008B20CE" w:rsidRDefault="00397386" w:rsidP="00397386">
            <w:pPr>
              <w:pStyle w:val="NormalWeb"/>
              <w:kinsoku w:val="0"/>
              <w:overflowPunct w:val="0"/>
              <w:spacing w:before="0" w:beforeAutospacing="0" w:after="3" w:afterAutospacing="0" w:line="244" w:lineRule="auto"/>
              <w:jc w:val="both"/>
              <w:textAlignment w:val="baseline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8B20CE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No se adelantan los procesos por el trámite verbal como lo establece la norma, por deficiencia logística y técnica. </w:t>
            </w:r>
          </w:p>
          <w:p w:rsidR="00DE523E" w:rsidRPr="008B20CE" w:rsidRDefault="00397386" w:rsidP="00397386">
            <w:pPr>
              <w:pStyle w:val="NormalWeb"/>
              <w:kinsoku w:val="0"/>
              <w:overflowPunct w:val="0"/>
              <w:spacing w:before="0" w:beforeAutospacing="0" w:after="3" w:afterAutospacing="0" w:line="244" w:lineRule="auto"/>
              <w:jc w:val="both"/>
              <w:textAlignment w:val="baseline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8B20CE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 xml:space="preserve">  </w:t>
            </w:r>
          </w:p>
          <w:p w:rsidR="002F6BCC" w:rsidRPr="008B20CE" w:rsidRDefault="002F6BCC" w:rsidP="00F0680C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t>Demora en la entrega de la información; por parte de líderes de procesos, referente a los avances de las actividades desarrolladas en cad</w:t>
            </w:r>
            <w:r w:rsidR="00F0680C" w:rsidRPr="008B20CE">
              <w:rPr>
                <w:rFonts w:ascii="Arial" w:hAnsi="Arial" w:cs="Arial"/>
              </w:rPr>
              <w:t>a uno de los diferentes planes</w:t>
            </w:r>
            <w:r w:rsidR="00D14760" w:rsidRPr="008B20CE">
              <w:rPr>
                <w:rFonts w:ascii="Arial" w:hAnsi="Arial" w:cs="Arial"/>
              </w:rPr>
              <w:t xml:space="preserve"> institucionales</w:t>
            </w:r>
            <w:r w:rsidR="00F0680C" w:rsidRPr="008B20CE">
              <w:rPr>
                <w:rFonts w:ascii="Arial" w:hAnsi="Arial" w:cs="Arial"/>
              </w:rPr>
              <w:t>.</w:t>
            </w:r>
          </w:p>
        </w:tc>
      </w:tr>
      <w:tr w:rsidR="00004B27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26C" w:rsidRPr="008B20CE" w:rsidRDefault="0079626C" w:rsidP="00BD2804">
            <w:pPr>
              <w:jc w:val="both"/>
              <w:rPr>
                <w:rFonts w:ascii="Arial" w:hAnsi="Arial" w:cs="Arial"/>
                <w:color w:val="FF0000"/>
                <w:lang w:eastAsia="es-CO"/>
              </w:rPr>
            </w:pPr>
          </w:p>
        </w:tc>
      </w:tr>
      <w:tr w:rsidR="006A66EF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67829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6A66EF">
            <w:pPr>
              <w:pStyle w:val="Sinespaciado"/>
              <w:rPr>
                <w:rStyle w:val="Textoennegrita"/>
                <w:rFonts w:ascii="Arial" w:hAnsi="Arial" w:cs="Arial"/>
                <w:color w:val="FFFFFF"/>
              </w:rPr>
            </w:pPr>
            <w:r w:rsidRPr="008B20CE">
              <w:rPr>
                <w:rStyle w:val="Textoennegrita"/>
                <w:rFonts w:ascii="Arial" w:hAnsi="Arial" w:cs="Arial"/>
                <w:color w:val="FFFFFF"/>
              </w:rPr>
              <w:t>Avances</w:t>
            </w:r>
          </w:p>
          <w:p w:rsidR="00CB6350" w:rsidRPr="008B20CE" w:rsidRDefault="00CB6350" w:rsidP="006A66EF">
            <w:pPr>
              <w:pStyle w:val="Sinespaciado"/>
              <w:rPr>
                <w:rFonts w:ascii="Arial" w:hAnsi="Arial" w:cs="Arial"/>
              </w:rPr>
            </w:pPr>
          </w:p>
        </w:tc>
      </w:tr>
      <w:tr w:rsidR="00341B9A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7933" w:rsidRPr="008B20CE" w:rsidRDefault="002E7933" w:rsidP="00351DE9">
            <w:pPr>
              <w:jc w:val="both"/>
              <w:rPr>
                <w:rFonts w:ascii="Arial" w:hAnsi="Arial" w:cs="Arial"/>
                <w:color w:val="FF0000"/>
              </w:rPr>
            </w:pPr>
          </w:p>
          <w:p w:rsidR="00714869" w:rsidRPr="008B20CE" w:rsidRDefault="002E7933" w:rsidP="00351DE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 xml:space="preserve">En el marco de las actividades del Sistema de Gestión de la Seguridad y Salud en el Trabajo (SG-SST) y bajo los 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>lineamientos establecidos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en el Decreto 1072 de 2015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>,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se realiz</w:t>
            </w:r>
            <w:r w:rsidR="00D14760" w:rsidRPr="008B20CE">
              <w:rPr>
                <w:rFonts w:ascii="Arial" w:hAnsi="Arial" w:cs="Arial"/>
                <w:color w:val="000000" w:themeColor="text1"/>
              </w:rPr>
              <w:t>ó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en el mes de marzo de 2017 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>el Informe de E</w:t>
            </w:r>
            <w:r w:rsidRPr="008B20CE">
              <w:rPr>
                <w:rFonts w:ascii="Arial" w:hAnsi="Arial" w:cs="Arial"/>
                <w:color w:val="000000" w:themeColor="text1"/>
              </w:rPr>
              <w:t>valuaci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>ón I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nicial del 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 xml:space="preserve">Sistema, con el fin de </w:t>
            </w:r>
            <w:r w:rsidR="008F4856" w:rsidRPr="008B20CE">
              <w:rPr>
                <w:rFonts w:ascii="Arial" w:hAnsi="Arial" w:cs="Arial"/>
                <w:color w:val="000000" w:themeColor="text1"/>
              </w:rPr>
              <w:t>identificar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 xml:space="preserve"> las prioridades en seguridad y salud en el trabajo </w:t>
            </w:r>
            <w:r w:rsidR="00D14760" w:rsidRPr="008B20CE">
              <w:rPr>
                <w:rFonts w:ascii="Arial" w:hAnsi="Arial" w:cs="Arial"/>
                <w:color w:val="000000" w:themeColor="text1"/>
              </w:rPr>
              <w:t xml:space="preserve">a 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>establecer</w:t>
            </w:r>
            <w:r w:rsidR="00D14760" w:rsidRPr="008B20CE">
              <w:rPr>
                <w:rFonts w:ascii="Arial" w:hAnsi="Arial" w:cs="Arial"/>
                <w:color w:val="000000" w:themeColor="text1"/>
              </w:rPr>
              <w:t xml:space="preserve"> en </w:t>
            </w:r>
            <w:r w:rsidR="00714869" w:rsidRPr="008B20CE">
              <w:rPr>
                <w:rFonts w:ascii="Arial" w:hAnsi="Arial" w:cs="Arial"/>
                <w:color w:val="000000" w:themeColor="text1"/>
              </w:rPr>
              <w:t>el Plan de Trabajo Anual</w:t>
            </w:r>
            <w:r w:rsidR="005D54B4" w:rsidRPr="008B20CE">
              <w:rPr>
                <w:rFonts w:ascii="Arial" w:hAnsi="Arial" w:cs="Arial"/>
                <w:color w:val="000000" w:themeColor="text1"/>
              </w:rPr>
              <w:t>,</w:t>
            </w:r>
            <w:r w:rsidR="008F4856" w:rsidRPr="008B20CE">
              <w:rPr>
                <w:rFonts w:ascii="Arial" w:hAnsi="Arial" w:cs="Arial"/>
                <w:color w:val="000000" w:themeColor="text1"/>
              </w:rPr>
              <w:t xml:space="preserve"> determinar oportunidades de mejora del documento y establecer oportunidades de mejora del documento de análisis de riesgo.</w:t>
            </w:r>
          </w:p>
          <w:p w:rsidR="002E7933" w:rsidRPr="008B20CE" w:rsidRDefault="005D54B4" w:rsidP="00351DE9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 xml:space="preserve">En el mes de abril </w:t>
            </w:r>
            <w:r w:rsidR="00120A7D" w:rsidRPr="008B20CE">
              <w:rPr>
                <w:rFonts w:ascii="Arial" w:hAnsi="Arial" w:cs="Arial"/>
                <w:color w:val="000000" w:themeColor="text1"/>
              </w:rPr>
              <w:t>se</w:t>
            </w:r>
            <w:r w:rsidR="00CC52CC" w:rsidRPr="008B20CE">
              <w:rPr>
                <w:rFonts w:ascii="Arial" w:hAnsi="Arial" w:cs="Arial"/>
                <w:color w:val="000000" w:themeColor="text1"/>
              </w:rPr>
              <w:t xml:space="preserve"> socializó el Plan Anual de Trabajo</w:t>
            </w:r>
            <w:r w:rsidR="00D14760" w:rsidRPr="008B20CE">
              <w:rPr>
                <w:rFonts w:ascii="Arial" w:hAnsi="Arial" w:cs="Arial"/>
                <w:color w:val="000000" w:themeColor="text1"/>
              </w:rPr>
              <w:t xml:space="preserve"> establecido</w:t>
            </w:r>
            <w:r w:rsidR="00CC52CC" w:rsidRPr="008B20CE">
              <w:rPr>
                <w:rFonts w:ascii="Arial" w:hAnsi="Arial" w:cs="Arial"/>
                <w:color w:val="000000" w:themeColor="text1"/>
              </w:rPr>
              <w:t xml:space="preserve"> y se</w:t>
            </w:r>
            <w:r w:rsidR="00120A7D" w:rsidRPr="008B20C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27333" w:rsidRPr="008B20CE">
              <w:rPr>
                <w:rFonts w:ascii="Arial" w:hAnsi="Arial" w:cs="Arial"/>
                <w:color w:val="000000" w:themeColor="text1"/>
              </w:rPr>
              <w:t>actualizó y</w:t>
            </w:r>
            <w:r w:rsidR="00CC52CC" w:rsidRPr="008B20CE">
              <w:rPr>
                <w:rFonts w:ascii="Arial" w:hAnsi="Arial" w:cs="Arial"/>
                <w:color w:val="000000" w:themeColor="text1"/>
              </w:rPr>
              <w:t xml:space="preserve"> socializó </w:t>
            </w:r>
            <w:r w:rsidR="00120A7D" w:rsidRPr="008B20CE">
              <w:rPr>
                <w:rFonts w:ascii="Arial" w:hAnsi="Arial" w:cs="Arial"/>
                <w:color w:val="000000" w:themeColor="text1"/>
              </w:rPr>
              <w:t>el Plan de Formación y Capacitación en S</w:t>
            </w:r>
            <w:r w:rsidR="00CC52CC" w:rsidRPr="008B20CE">
              <w:rPr>
                <w:rFonts w:ascii="Arial" w:hAnsi="Arial" w:cs="Arial"/>
                <w:color w:val="000000" w:themeColor="text1"/>
              </w:rPr>
              <w:t xml:space="preserve">eguridad y </w:t>
            </w:r>
            <w:r w:rsidR="00120A7D" w:rsidRPr="008B20CE">
              <w:rPr>
                <w:rFonts w:ascii="Arial" w:hAnsi="Arial" w:cs="Arial"/>
                <w:color w:val="000000" w:themeColor="text1"/>
              </w:rPr>
              <w:t>S</w:t>
            </w:r>
            <w:r w:rsidR="00CC52CC" w:rsidRPr="008B20CE">
              <w:rPr>
                <w:rFonts w:ascii="Arial" w:hAnsi="Arial" w:cs="Arial"/>
                <w:color w:val="000000" w:themeColor="text1"/>
              </w:rPr>
              <w:t xml:space="preserve">alud en el </w:t>
            </w:r>
            <w:r w:rsidR="00120A7D" w:rsidRPr="008B20CE">
              <w:rPr>
                <w:rFonts w:ascii="Arial" w:hAnsi="Arial" w:cs="Arial"/>
                <w:color w:val="000000" w:themeColor="text1"/>
              </w:rPr>
              <w:t>T</w:t>
            </w:r>
            <w:r w:rsidR="00CC52CC" w:rsidRPr="008B20CE">
              <w:rPr>
                <w:rFonts w:ascii="Arial" w:hAnsi="Arial" w:cs="Arial"/>
                <w:color w:val="000000" w:themeColor="text1"/>
              </w:rPr>
              <w:t>rabajo; igualmente se desarrollaron actividades de fomento de estilos de vida saludable</w:t>
            </w:r>
            <w:r w:rsidR="00927333" w:rsidRPr="008B20C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07067" w:rsidRPr="008B20CE">
              <w:rPr>
                <w:rFonts w:ascii="Arial" w:hAnsi="Arial" w:cs="Arial"/>
                <w:color w:val="000000" w:themeColor="text1"/>
              </w:rPr>
              <w:t>y el</w:t>
            </w:r>
            <w:r w:rsidR="00927333" w:rsidRPr="008B20CE">
              <w:rPr>
                <w:rFonts w:ascii="Arial" w:hAnsi="Arial" w:cs="Arial"/>
                <w:color w:val="000000" w:themeColor="text1"/>
              </w:rPr>
              <w:t xml:space="preserve"> programa postural</w:t>
            </w:r>
            <w:r w:rsidR="00C50C8B">
              <w:rPr>
                <w:rFonts w:ascii="Arial" w:hAnsi="Arial" w:cs="Arial"/>
                <w:color w:val="000000" w:themeColor="text1"/>
              </w:rPr>
              <w:t>,</w:t>
            </w:r>
            <w:r w:rsidR="00927333" w:rsidRPr="008B20CE">
              <w:rPr>
                <w:rFonts w:ascii="Arial" w:hAnsi="Arial" w:cs="Arial"/>
                <w:color w:val="000000" w:themeColor="text1"/>
              </w:rPr>
              <w:t xml:space="preserve"> que </w:t>
            </w:r>
            <w:r w:rsidR="00F07067" w:rsidRPr="008B20CE">
              <w:rPr>
                <w:rFonts w:ascii="Arial" w:hAnsi="Arial" w:cs="Arial"/>
                <w:color w:val="000000" w:themeColor="text1"/>
              </w:rPr>
              <w:t>incluyó charla</w:t>
            </w:r>
            <w:r w:rsidR="00927333" w:rsidRPr="008B20CE">
              <w:rPr>
                <w:rFonts w:ascii="Arial" w:hAnsi="Arial" w:cs="Arial"/>
                <w:color w:val="000000" w:themeColor="text1"/>
              </w:rPr>
              <w:t xml:space="preserve"> sobre higiene postural con énfasis en los peligros de una mala postura.</w:t>
            </w:r>
          </w:p>
          <w:p w:rsidR="00D46DCA" w:rsidRPr="008B20CE" w:rsidRDefault="00D46DCA" w:rsidP="00D46DCA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lastRenderedPageBreak/>
              <w:t>En desarrollo del Programa de Bienestar S</w:t>
            </w:r>
            <w:r w:rsidR="00490CDE" w:rsidRPr="008B20CE">
              <w:rPr>
                <w:rFonts w:ascii="Arial" w:hAnsi="Arial" w:cs="Arial"/>
              </w:rPr>
              <w:t>ocial</w:t>
            </w:r>
            <w:r w:rsidRPr="008B20CE">
              <w:rPr>
                <w:rFonts w:ascii="Arial" w:hAnsi="Arial" w:cs="Arial"/>
              </w:rPr>
              <w:t xml:space="preserve">, en el mes de junio se contrató con la Caja de Compensación Familiar – CAJASAI, </w:t>
            </w:r>
            <w:r w:rsidR="00BF3378" w:rsidRPr="008B20CE">
              <w:rPr>
                <w:rFonts w:ascii="Arial" w:hAnsi="Arial" w:cs="Arial"/>
              </w:rPr>
              <w:t xml:space="preserve">el desarrollo de </w:t>
            </w:r>
            <w:r w:rsidRPr="008B20CE">
              <w:rPr>
                <w:rFonts w:ascii="Arial" w:hAnsi="Arial" w:cs="Arial"/>
              </w:rPr>
              <w:t xml:space="preserve">cuatro </w:t>
            </w:r>
            <w:r w:rsidR="00BF3378" w:rsidRPr="008B20CE">
              <w:rPr>
                <w:rFonts w:ascii="Arial" w:hAnsi="Arial" w:cs="Arial"/>
              </w:rPr>
              <w:t xml:space="preserve">talleres de </w:t>
            </w:r>
            <w:r w:rsidRPr="008B20CE">
              <w:rPr>
                <w:rFonts w:ascii="Arial" w:hAnsi="Arial" w:cs="Arial"/>
              </w:rPr>
              <w:t xml:space="preserve">capacitación </w:t>
            </w:r>
            <w:r w:rsidR="00BF3378" w:rsidRPr="008B20CE">
              <w:rPr>
                <w:rFonts w:ascii="Arial" w:hAnsi="Arial" w:cs="Arial"/>
              </w:rPr>
              <w:t xml:space="preserve">teórico – </w:t>
            </w:r>
            <w:r w:rsidR="00490CDE" w:rsidRPr="008B20CE">
              <w:rPr>
                <w:rFonts w:ascii="Arial" w:hAnsi="Arial" w:cs="Arial"/>
              </w:rPr>
              <w:t>prácticos que comprenden la sensibilización a los empleados sobre la obtención de un buen clima organizacional basado en unas condiciones de trabajo óptimas y un ambiente laboral productivo que coadyuve al fortalecimiento de la entidad.</w:t>
            </w:r>
          </w:p>
          <w:p w:rsidR="00490CDE" w:rsidRPr="008B20CE" w:rsidRDefault="00E76418" w:rsidP="00D46DCA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t xml:space="preserve">Con el fin de garantizar el soporte técnico indispensable para atender cualquier tipo de daño y asegurar el perfecto estado y funcionamiento de los bienes, así como su vida útil; </w:t>
            </w:r>
            <w:r w:rsidR="004714A1" w:rsidRPr="008B20CE">
              <w:rPr>
                <w:rFonts w:ascii="Arial" w:hAnsi="Arial" w:cs="Arial"/>
              </w:rPr>
              <w:t xml:space="preserve">en el mes de marzo </w:t>
            </w:r>
            <w:r w:rsidRPr="008B20CE">
              <w:rPr>
                <w:rFonts w:ascii="Arial" w:hAnsi="Arial" w:cs="Arial"/>
              </w:rPr>
              <w:t xml:space="preserve">se contrató el mantenimiento preventivo y correctivo de los equipos de aire acondicionados de la entidad. </w:t>
            </w:r>
          </w:p>
          <w:p w:rsidR="00E76418" w:rsidRPr="008B20CE" w:rsidRDefault="00E76418" w:rsidP="00D46DCA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t xml:space="preserve">En cumplimiento al Plan Institucional de Capacitación de la actual vigencia, durante el período </w:t>
            </w:r>
            <w:r w:rsidR="004714A1" w:rsidRPr="008B20CE">
              <w:rPr>
                <w:rFonts w:ascii="Arial" w:hAnsi="Arial" w:cs="Arial"/>
              </w:rPr>
              <w:t>evaluado se</w:t>
            </w:r>
            <w:r w:rsidRPr="008B20CE">
              <w:rPr>
                <w:rFonts w:ascii="Arial" w:hAnsi="Arial" w:cs="Arial"/>
              </w:rPr>
              <w:t xml:space="preserve"> capacitó a todo el pers</w:t>
            </w:r>
            <w:r w:rsidR="004714A1" w:rsidRPr="008B20CE">
              <w:rPr>
                <w:rFonts w:ascii="Arial" w:hAnsi="Arial" w:cs="Arial"/>
              </w:rPr>
              <w:t>onal en el tema Evaluación del Desempeño B</w:t>
            </w:r>
            <w:r w:rsidRPr="008B20CE">
              <w:rPr>
                <w:rFonts w:ascii="Arial" w:hAnsi="Arial" w:cs="Arial"/>
              </w:rPr>
              <w:t xml:space="preserve">ajo el </w:t>
            </w:r>
            <w:r w:rsidR="004714A1" w:rsidRPr="008B20CE">
              <w:rPr>
                <w:rFonts w:ascii="Arial" w:hAnsi="Arial" w:cs="Arial"/>
              </w:rPr>
              <w:t>Nuevo M</w:t>
            </w:r>
            <w:r w:rsidRPr="008B20CE">
              <w:rPr>
                <w:rFonts w:ascii="Arial" w:hAnsi="Arial" w:cs="Arial"/>
              </w:rPr>
              <w:t>odelo</w:t>
            </w:r>
            <w:r w:rsidR="004714A1" w:rsidRPr="008B20CE">
              <w:rPr>
                <w:rFonts w:ascii="Arial" w:hAnsi="Arial" w:cs="Arial"/>
              </w:rPr>
              <w:t>:</w:t>
            </w:r>
            <w:r w:rsidRPr="008B20CE">
              <w:rPr>
                <w:rFonts w:ascii="Arial" w:hAnsi="Arial" w:cs="Arial"/>
              </w:rPr>
              <w:t xml:space="preserve"> Acuerdo 565 del 2016 CNSC</w:t>
            </w:r>
            <w:r w:rsidR="00626494" w:rsidRPr="008B20CE">
              <w:rPr>
                <w:rFonts w:ascii="Arial" w:hAnsi="Arial" w:cs="Arial"/>
              </w:rPr>
              <w:t xml:space="preserve">. </w:t>
            </w:r>
            <w:r w:rsidR="00C90409" w:rsidRPr="008B20CE">
              <w:rPr>
                <w:rFonts w:ascii="Arial" w:hAnsi="Arial" w:cs="Arial"/>
              </w:rPr>
              <w:t>Igualmente se</w:t>
            </w:r>
            <w:r w:rsidR="004714A1" w:rsidRPr="008B20CE">
              <w:rPr>
                <w:rFonts w:ascii="Arial" w:hAnsi="Arial" w:cs="Arial"/>
              </w:rPr>
              <w:t xml:space="preserve"> </w:t>
            </w:r>
            <w:r w:rsidR="000502A4" w:rsidRPr="008B20CE">
              <w:rPr>
                <w:rFonts w:ascii="Arial" w:hAnsi="Arial" w:cs="Arial"/>
              </w:rPr>
              <w:t>atendieron</w:t>
            </w:r>
            <w:r w:rsidR="00626494" w:rsidRPr="008B20CE">
              <w:rPr>
                <w:rFonts w:ascii="Arial" w:hAnsi="Arial" w:cs="Arial"/>
              </w:rPr>
              <w:t xml:space="preserve"> las necesidades de formación de las diferentes Dependencia, de acuerdo a lo programado.</w:t>
            </w:r>
          </w:p>
          <w:p w:rsidR="004714A1" w:rsidRPr="008B20CE" w:rsidRDefault="00DA09CA" w:rsidP="004714A1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t>S</w:t>
            </w:r>
            <w:r w:rsidR="004714A1" w:rsidRPr="008B20CE">
              <w:rPr>
                <w:rFonts w:ascii="Arial" w:hAnsi="Arial" w:cs="Arial"/>
              </w:rPr>
              <w:t xml:space="preserve">e realizó </w:t>
            </w:r>
            <w:r w:rsidR="00D14760" w:rsidRPr="008B20CE">
              <w:rPr>
                <w:rFonts w:ascii="Arial" w:hAnsi="Arial" w:cs="Arial"/>
              </w:rPr>
              <w:t>seguimiento a</w:t>
            </w:r>
            <w:r w:rsidRPr="008B20CE">
              <w:rPr>
                <w:rFonts w:ascii="Arial" w:hAnsi="Arial" w:cs="Arial"/>
              </w:rPr>
              <w:t xml:space="preserve"> los indicadores de cada p</w:t>
            </w:r>
            <w:r w:rsidR="00C50C8B">
              <w:rPr>
                <w:rFonts w:ascii="Arial" w:hAnsi="Arial" w:cs="Arial"/>
              </w:rPr>
              <w:t>roceso;</w:t>
            </w:r>
            <w:r w:rsidR="004714A1" w:rsidRPr="008B20CE">
              <w:rPr>
                <w:rFonts w:ascii="Arial" w:hAnsi="Arial" w:cs="Arial"/>
              </w:rPr>
              <w:t xml:space="preserve"> en es</w:t>
            </w:r>
            <w:r w:rsidR="00D14760" w:rsidRPr="008B20CE">
              <w:rPr>
                <w:rFonts w:ascii="Arial" w:hAnsi="Arial" w:cs="Arial"/>
              </w:rPr>
              <w:t>te ejercicio cada líder alimentó</w:t>
            </w:r>
            <w:r w:rsidR="004714A1" w:rsidRPr="008B20CE">
              <w:rPr>
                <w:rFonts w:ascii="Arial" w:hAnsi="Arial" w:cs="Arial"/>
              </w:rPr>
              <w:t xml:space="preserve"> el cuadro matriz (Tablero de Indicadores) con la información cuantitativa y cualitativa;</w:t>
            </w:r>
            <w:r w:rsidRPr="008B20CE">
              <w:rPr>
                <w:rFonts w:ascii="Arial" w:hAnsi="Arial" w:cs="Arial"/>
              </w:rPr>
              <w:t xml:space="preserve"> la cual es enviada a la oficina de Planeación para su consolidación, análisis y </w:t>
            </w:r>
            <w:r w:rsidR="004714A1" w:rsidRPr="008B20CE">
              <w:rPr>
                <w:rFonts w:ascii="Arial" w:hAnsi="Arial" w:cs="Arial"/>
              </w:rPr>
              <w:t>elabora</w:t>
            </w:r>
            <w:r w:rsidRPr="008B20CE">
              <w:rPr>
                <w:rFonts w:ascii="Arial" w:hAnsi="Arial" w:cs="Arial"/>
              </w:rPr>
              <w:t>ción de</w:t>
            </w:r>
            <w:r w:rsidR="00D14760" w:rsidRPr="008B20CE">
              <w:rPr>
                <w:rFonts w:ascii="Arial" w:hAnsi="Arial" w:cs="Arial"/>
              </w:rPr>
              <w:t>l respectivo informe</w:t>
            </w:r>
            <w:r w:rsidR="004714A1" w:rsidRPr="008B20CE">
              <w:rPr>
                <w:rFonts w:ascii="Arial" w:hAnsi="Arial" w:cs="Arial"/>
              </w:rPr>
              <w:t xml:space="preserve"> con recomendaciones a la alta Dirección.</w:t>
            </w:r>
          </w:p>
          <w:p w:rsidR="00953888" w:rsidRPr="008B20CE" w:rsidRDefault="00953888" w:rsidP="00351DE9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t xml:space="preserve">Los días 30 y 31 de marzo de 2017, se realizó la rendición de cuentas de la Entidad correspondiente a la vigencia 2016, </w:t>
            </w:r>
            <w:r w:rsidR="004714A1" w:rsidRPr="008B20CE">
              <w:rPr>
                <w:rFonts w:ascii="Arial" w:hAnsi="Arial" w:cs="Arial"/>
              </w:rPr>
              <w:t>en la isla de San Andrés como en Providencia y Santa Catalina</w:t>
            </w:r>
            <w:r w:rsidRPr="008B20CE">
              <w:rPr>
                <w:rFonts w:ascii="Arial" w:hAnsi="Arial" w:cs="Arial"/>
              </w:rPr>
              <w:t xml:space="preserve"> respectivamente. El ejercicio contempló la presentación del informe dela gestión adelantada en la vigencia 2016, y la socialización del Plan Estratégico Institucional 2017-2019.  El informe se encuentra publicado en la página de la entidad,  </w:t>
            </w:r>
            <w:r w:rsidRPr="008B20CE">
              <w:t xml:space="preserve"> </w:t>
            </w:r>
            <w:r w:rsidRPr="008B20CE">
              <w:rPr>
                <w:rFonts w:ascii="Arial" w:hAnsi="Arial" w:cs="Arial"/>
              </w:rPr>
              <w:t>http://contraloriasai.gov.co/index.php/gestion/rendicion-de-cuentas.</w:t>
            </w:r>
          </w:p>
          <w:p w:rsidR="00D47853" w:rsidRPr="008B20CE" w:rsidRDefault="00D47853" w:rsidP="00D47853">
            <w:pPr>
              <w:spacing w:before="100" w:beforeAutospacing="1" w:after="100" w:afterAutospacing="1"/>
              <w:jc w:val="both"/>
              <w:rPr>
                <w:rFonts w:ascii="Arial" w:hAnsi="Arial" w:cs="Arial"/>
                <w:lang w:eastAsia="es-CO"/>
              </w:rPr>
            </w:pPr>
            <w:r w:rsidRPr="008B20CE">
              <w:rPr>
                <w:rFonts w:ascii="Arial" w:hAnsi="Arial" w:cs="Arial"/>
                <w:lang w:eastAsia="es-CO"/>
              </w:rPr>
              <w:t xml:space="preserve">Del 1 de marzo hasta el 30 de junio, fueron proferidos 11 Autos de Asignación para sustanciar Indagaciones Preliminares y/o Procesos de </w:t>
            </w:r>
            <w:r w:rsidR="00C50C8B">
              <w:rPr>
                <w:rFonts w:ascii="Arial" w:hAnsi="Arial" w:cs="Arial"/>
                <w:lang w:eastAsia="es-CO"/>
              </w:rPr>
              <w:t>R</w:t>
            </w:r>
            <w:r w:rsidRPr="008B20CE">
              <w:rPr>
                <w:rFonts w:ascii="Arial" w:hAnsi="Arial" w:cs="Arial"/>
                <w:lang w:eastAsia="es-CO"/>
              </w:rPr>
              <w:t>esponsabilidad Fiscal correspondientes a 11 expedientes por la suma de $ 1´645.089.394,00; se han proferido un total de 25 Autos de Apertura de Procesos de Responsabilidad por la suma de $725.664.659,00;  se profirió  un (1) Auto de Cese de la acción fiscal por pago, por la suma de $ 9.611.548,</w:t>
            </w:r>
            <w:r w:rsidR="00603D8C" w:rsidRPr="008B20CE">
              <w:rPr>
                <w:rFonts w:ascii="Arial" w:hAnsi="Arial" w:cs="Arial"/>
                <w:lang w:eastAsia="es-CO"/>
              </w:rPr>
              <w:t xml:space="preserve">00 y </w:t>
            </w:r>
            <w:r w:rsidR="00C50C8B">
              <w:rPr>
                <w:rFonts w:ascii="Arial" w:hAnsi="Arial" w:cs="Arial"/>
                <w:lang w:eastAsia="es-CO"/>
              </w:rPr>
              <w:t xml:space="preserve"> no se decretó </w:t>
            </w:r>
            <w:r w:rsidRPr="008B20CE">
              <w:rPr>
                <w:rFonts w:ascii="Arial" w:hAnsi="Arial" w:cs="Arial"/>
                <w:lang w:eastAsia="es-CO"/>
              </w:rPr>
              <w:t>la caducidad ni la prescripción de la acción fiscal en ninguno proceso.</w:t>
            </w:r>
          </w:p>
          <w:p w:rsidR="00397386" w:rsidRPr="008B20CE" w:rsidRDefault="00603D8C" w:rsidP="00397386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t>Durante el periodo evaluado se tramitaron un total de 5 expedientes a través del Proceso Coactivo Fiscal, por la suma de $73.319.203</w:t>
            </w:r>
            <w:r w:rsidR="00397386" w:rsidRPr="008B20CE">
              <w:rPr>
                <w:rFonts w:ascii="Arial" w:hAnsi="Arial" w:cs="Arial"/>
              </w:rPr>
              <w:t>.</w:t>
            </w:r>
            <w:r w:rsidRPr="008B20CE">
              <w:rPr>
                <w:rFonts w:ascii="Arial" w:hAnsi="Arial" w:cs="Arial"/>
              </w:rPr>
              <w:t>00; procesos éstos que vienen de vigencias anteriores. Respecto a lo anterior</w:t>
            </w:r>
            <w:r w:rsidR="00C50C8B">
              <w:rPr>
                <w:rFonts w:ascii="Arial" w:hAnsi="Arial" w:cs="Arial"/>
              </w:rPr>
              <w:t>;</w:t>
            </w:r>
            <w:r w:rsidR="00397386" w:rsidRPr="008B20CE">
              <w:rPr>
                <w:rFonts w:ascii="Arial" w:hAnsi="Arial" w:cs="Arial"/>
              </w:rPr>
              <w:t xml:space="preserve"> trimestralmente la Dependencia encargada</w:t>
            </w:r>
            <w:r w:rsidR="00C50C8B">
              <w:rPr>
                <w:rFonts w:ascii="Arial" w:hAnsi="Arial" w:cs="Arial"/>
              </w:rPr>
              <w:t xml:space="preserve"> consulta con los B</w:t>
            </w:r>
            <w:r w:rsidR="00397386" w:rsidRPr="008B20CE">
              <w:rPr>
                <w:rFonts w:ascii="Arial" w:hAnsi="Arial" w:cs="Arial"/>
              </w:rPr>
              <w:t>ancos, Oficina de Registro de Instrumentos Públicos, Oficina Departamental de Transito, entre otros</w:t>
            </w:r>
            <w:r w:rsidR="00186728" w:rsidRPr="008B20CE">
              <w:rPr>
                <w:rFonts w:ascii="Arial" w:hAnsi="Arial" w:cs="Arial"/>
              </w:rPr>
              <w:t>; con</w:t>
            </w:r>
            <w:r w:rsidR="00397386" w:rsidRPr="008B20CE">
              <w:rPr>
                <w:rFonts w:ascii="Arial" w:hAnsi="Arial" w:cs="Arial"/>
              </w:rPr>
              <w:t xml:space="preserve"> el fin de lograr ubicar los bienes de las personas respecto de los cuales son tramitados dichos procesos.</w:t>
            </w:r>
          </w:p>
          <w:p w:rsidR="00465499" w:rsidRDefault="008225EC" w:rsidP="001569E3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 xml:space="preserve">En el mes de </w:t>
            </w:r>
            <w:r w:rsidR="001569E3" w:rsidRPr="008B20CE">
              <w:rPr>
                <w:rFonts w:ascii="Arial" w:hAnsi="Arial" w:cs="Arial"/>
                <w:color w:val="000000" w:themeColor="text1"/>
              </w:rPr>
              <w:t>mayo de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A132D" w:rsidRPr="008B20CE">
              <w:rPr>
                <w:rFonts w:ascii="Arial" w:hAnsi="Arial" w:cs="Arial"/>
                <w:color w:val="000000" w:themeColor="text1"/>
              </w:rPr>
              <w:t>2017 se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realizó el </w:t>
            </w:r>
            <w:r w:rsidR="001569E3" w:rsidRPr="008B20CE">
              <w:rPr>
                <w:rFonts w:ascii="Arial" w:hAnsi="Arial" w:cs="Arial"/>
                <w:color w:val="000000" w:themeColor="text1"/>
              </w:rPr>
              <w:t>primer seguimiento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y </w:t>
            </w:r>
            <w:r w:rsidR="00BA132D" w:rsidRPr="008B20CE">
              <w:rPr>
                <w:rFonts w:ascii="Arial" w:hAnsi="Arial" w:cs="Arial"/>
                <w:color w:val="000000" w:themeColor="text1"/>
              </w:rPr>
              <w:t>monitoreo a</w:t>
            </w:r>
            <w:r w:rsidR="003327D0" w:rsidRPr="008B20CE">
              <w:rPr>
                <w:rFonts w:ascii="Arial" w:hAnsi="Arial" w:cs="Arial"/>
                <w:color w:val="000000" w:themeColor="text1"/>
              </w:rPr>
              <w:t xml:space="preserve"> los riesgos de corrupción institucional, </w:t>
            </w:r>
            <w:r w:rsidRPr="008B20CE">
              <w:rPr>
                <w:rFonts w:ascii="Arial" w:hAnsi="Arial" w:cs="Arial"/>
                <w:color w:val="000000" w:themeColor="text1"/>
              </w:rPr>
              <w:t>por parte de los líderes de los</w:t>
            </w:r>
            <w:r w:rsidR="00C50C8B">
              <w:rPr>
                <w:rFonts w:ascii="Arial" w:hAnsi="Arial" w:cs="Arial"/>
                <w:color w:val="000000" w:themeColor="text1"/>
              </w:rPr>
              <w:t xml:space="preserve"> procesos y </w:t>
            </w:r>
            <w:r w:rsidRPr="008B20CE">
              <w:rPr>
                <w:rFonts w:ascii="Arial" w:hAnsi="Arial" w:cs="Arial"/>
                <w:color w:val="000000" w:themeColor="text1"/>
              </w:rPr>
              <w:t>la Oficina de Control Interno</w:t>
            </w:r>
            <w:r w:rsidR="00C50C8B">
              <w:rPr>
                <w:rFonts w:ascii="Arial" w:hAnsi="Arial" w:cs="Arial"/>
                <w:color w:val="000000" w:themeColor="text1"/>
              </w:rPr>
              <w:t xml:space="preserve"> la respectiva </w:t>
            </w:r>
            <w:r w:rsidR="00C50C8B">
              <w:rPr>
                <w:rFonts w:ascii="Arial" w:hAnsi="Arial" w:cs="Arial"/>
                <w:color w:val="000000" w:themeColor="text1"/>
              </w:rPr>
              <w:lastRenderedPageBreak/>
              <w:t>evaluación.</w:t>
            </w:r>
          </w:p>
          <w:p w:rsidR="00B37EDC" w:rsidRDefault="005676B7" w:rsidP="00B37EDC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</w:rPr>
              <w:t>Con el fin de fortalecer la democracia participativa</w:t>
            </w:r>
            <w:r w:rsidR="00F713B4">
              <w:rPr>
                <w:rFonts w:ascii="Arial" w:hAnsi="Arial" w:cs="Arial"/>
                <w:color w:val="000000" w:themeColor="text1"/>
              </w:rPr>
              <w:t xml:space="preserve"> y fortalecer los mecanismos de participación ciudadana como herramientas fundamentales para el ejercicio del control social y fiscal participativo, l</w:t>
            </w:r>
            <w:r w:rsidR="00B37EDC">
              <w:rPr>
                <w:rFonts w:ascii="Arial" w:hAnsi="Arial" w:cs="Arial"/>
                <w:color w:val="000000" w:themeColor="text1"/>
              </w:rPr>
              <w:t>os días 27 y 28 de junio y en cumplimiento al Plan de Participación</w:t>
            </w:r>
            <w:r>
              <w:rPr>
                <w:rFonts w:ascii="Arial" w:hAnsi="Arial" w:cs="Arial"/>
                <w:color w:val="000000" w:themeColor="text1"/>
              </w:rPr>
              <w:t xml:space="preserve"> Ciudadana,</w:t>
            </w:r>
            <w:r w:rsidR="00B37EDC">
              <w:rPr>
                <w:rFonts w:ascii="Arial" w:hAnsi="Arial" w:cs="Arial"/>
                <w:color w:val="000000" w:themeColor="text1"/>
              </w:rPr>
              <w:t xml:space="preserve"> l</w:t>
            </w:r>
            <w:r w:rsidR="00B37EDC">
              <w:rPr>
                <w:rFonts w:ascii="Arial" w:hAnsi="Arial" w:cs="Arial"/>
                <w:color w:val="000000"/>
                <w:shd w:val="clear" w:color="auto" w:fill="FFFFFF"/>
              </w:rPr>
              <w:t xml:space="preserve">a Contraloría General del Departamento </w:t>
            </w:r>
            <w:r w:rsidR="00F713B4">
              <w:rPr>
                <w:rFonts w:ascii="Arial" w:hAnsi="Arial" w:cs="Arial"/>
                <w:color w:val="000000"/>
                <w:shd w:val="clear" w:color="auto" w:fill="FFFFFF"/>
              </w:rPr>
              <w:t>llevo a cabo</w:t>
            </w:r>
            <w:r w:rsidR="00B37EDC">
              <w:rPr>
                <w:rFonts w:ascii="Arial" w:hAnsi="Arial" w:cs="Arial"/>
                <w:color w:val="000000"/>
                <w:shd w:val="clear" w:color="auto" w:fill="FFFFFF"/>
              </w:rPr>
              <w:t xml:space="preserve"> en el Municipio de Providencia el curso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de capacitación </w:t>
            </w:r>
            <w:r w:rsidR="00B37EDC">
              <w:rPr>
                <w:rFonts w:ascii="Arial" w:hAnsi="Arial" w:cs="Arial"/>
                <w:color w:val="000000"/>
                <w:shd w:val="clear" w:color="auto" w:fill="FFFFFF"/>
              </w:rPr>
              <w:t>en Control Social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y la Participación Ciudadana</w:t>
            </w:r>
            <w:r w:rsidR="00B37EDC">
              <w:rPr>
                <w:rFonts w:ascii="Arial" w:hAnsi="Arial" w:cs="Arial"/>
                <w:color w:val="000000"/>
                <w:shd w:val="clear" w:color="auto" w:fill="FFFFFF"/>
              </w:rPr>
              <w:t>, dirigido a toda la ciudadanía en general.</w:t>
            </w:r>
          </w:p>
          <w:p w:rsidR="00C50C8B" w:rsidRPr="00C50C8B" w:rsidRDefault="00B37EDC" w:rsidP="005676B7">
            <w:p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05396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56B3" w:rsidRPr="008B20CE" w:rsidRDefault="008856B3" w:rsidP="006A66E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6A66EF" w:rsidRPr="008B20CE" w:rsidRDefault="008856B3" w:rsidP="006A66E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B20CE">
              <w:rPr>
                <w:rFonts w:ascii="Arial" w:hAnsi="Arial" w:cs="Arial"/>
                <w:b/>
                <w:color w:val="FFFFFF" w:themeColor="background1"/>
              </w:rPr>
              <w:t>MODULO DE CONTROL DE EVALUACIÓ</w:t>
            </w:r>
            <w:r w:rsidR="00C43D63" w:rsidRPr="008B20CE">
              <w:rPr>
                <w:rFonts w:ascii="Arial" w:hAnsi="Arial" w:cs="Arial"/>
                <w:b/>
                <w:color w:val="FFFFFF" w:themeColor="background1"/>
              </w:rPr>
              <w:t>N Y SEGUIMIENTO</w:t>
            </w:r>
          </w:p>
          <w:p w:rsidR="009C3216" w:rsidRPr="008B20CE" w:rsidRDefault="009C3216" w:rsidP="006A66EF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67829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6A66EF">
            <w:pPr>
              <w:pStyle w:val="Sinespaciado"/>
              <w:rPr>
                <w:rStyle w:val="Textoennegrita"/>
                <w:rFonts w:ascii="Arial" w:hAnsi="Arial" w:cs="Arial"/>
                <w:color w:val="FFFFFF" w:themeColor="background1"/>
              </w:rPr>
            </w:pPr>
            <w:r w:rsidRPr="008B20CE">
              <w:rPr>
                <w:rStyle w:val="Textoennegrita"/>
                <w:rFonts w:ascii="Arial" w:hAnsi="Arial" w:cs="Arial"/>
                <w:color w:val="FFFFFF" w:themeColor="background1"/>
              </w:rPr>
              <w:t>Dificultades</w:t>
            </w:r>
          </w:p>
          <w:p w:rsidR="002B161E" w:rsidRPr="008B20CE" w:rsidRDefault="002B161E" w:rsidP="006A66EF">
            <w:pPr>
              <w:pStyle w:val="Sinespaciado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75546" w:rsidRPr="008B20CE" w:rsidRDefault="00175546" w:rsidP="006A66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BD2804" w:rsidRPr="008B20CE" w:rsidRDefault="00BD2804" w:rsidP="00BD280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>En la implementación de</w:t>
            </w:r>
            <w:r w:rsidR="00983B73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91E55">
              <w:rPr>
                <w:rFonts w:ascii="Arial" w:hAnsi="Arial" w:cs="Arial"/>
                <w:color w:val="000000" w:themeColor="text1"/>
              </w:rPr>
              <w:t xml:space="preserve">la </w:t>
            </w:r>
            <w:r w:rsidR="00983B73">
              <w:rPr>
                <w:rFonts w:ascii="Arial" w:hAnsi="Arial" w:cs="Arial"/>
                <w:color w:val="000000" w:themeColor="text1"/>
              </w:rPr>
              <w:t>herramienta de</w:t>
            </w:r>
            <w:r w:rsidR="00591E55">
              <w:rPr>
                <w:rFonts w:ascii="Arial" w:hAnsi="Arial" w:cs="Arial"/>
                <w:color w:val="000000" w:themeColor="text1"/>
              </w:rPr>
              <w:t xml:space="preserve"> autoevaluación</w:t>
            </w:r>
            <w:r w:rsidR="00983B73">
              <w:rPr>
                <w:rFonts w:ascii="Arial" w:hAnsi="Arial" w:cs="Arial"/>
                <w:color w:val="000000" w:themeColor="text1"/>
              </w:rPr>
              <w:t xml:space="preserve"> para determinar </w:t>
            </w:r>
            <w:r w:rsidR="00591E55">
              <w:rPr>
                <w:rFonts w:ascii="Arial" w:hAnsi="Arial" w:cs="Arial"/>
                <w:color w:val="000000" w:themeColor="text1"/>
              </w:rPr>
              <w:t>la efectividad de cada uno de los controles por procesos</w:t>
            </w:r>
            <w:r w:rsidR="00983B73">
              <w:rPr>
                <w:rFonts w:ascii="Arial" w:hAnsi="Arial" w:cs="Arial"/>
                <w:color w:val="000000" w:themeColor="text1"/>
              </w:rPr>
              <w:t xml:space="preserve">, de </w:t>
            </w:r>
            <w:r w:rsidR="0098051D">
              <w:rPr>
                <w:rFonts w:ascii="Arial" w:hAnsi="Arial" w:cs="Arial"/>
                <w:color w:val="000000" w:themeColor="text1"/>
              </w:rPr>
              <w:t>acuerdo con l</w:t>
            </w:r>
            <w:r w:rsidR="00983B73">
              <w:rPr>
                <w:rFonts w:ascii="Arial" w:hAnsi="Arial" w:cs="Arial"/>
                <w:color w:val="000000" w:themeColor="text1"/>
              </w:rPr>
              <w:t xml:space="preserve">a periodicidad </w:t>
            </w:r>
            <w:r w:rsidR="0098051D">
              <w:rPr>
                <w:rFonts w:ascii="Arial" w:hAnsi="Arial" w:cs="Arial"/>
                <w:color w:val="000000" w:themeColor="text1"/>
              </w:rPr>
              <w:t>establecid</w:t>
            </w:r>
            <w:r w:rsidR="00983B73">
              <w:rPr>
                <w:rFonts w:ascii="Arial" w:hAnsi="Arial" w:cs="Arial"/>
                <w:color w:val="000000" w:themeColor="text1"/>
              </w:rPr>
              <w:t>a</w:t>
            </w:r>
            <w:r w:rsidR="0098051D">
              <w:rPr>
                <w:rFonts w:ascii="Arial" w:hAnsi="Arial" w:cs="Arial"/>
                <w:color w:val="000000" w:themeColor="text1"/>
              </w:rPr>
              <w:t xml:space="preserve"> en el Manual de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procedimientos para la Autoevaluación de los Procesos</w:t>
            </w:r>
            <w:r w:rsidR="00983B73">
              <w:rPr>
                <w:rFonts w:ascii="Arial" w:hAnsi="Arial" w:cs="Arial"/>
                <w:color w:val="000000" w:themeColor="text1"/>
              </w:rPr>
              <w:t>,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adoptados por la Entidad</w:t>
            </w:r>
            <w:r w:rsidR="00983B73">
              <w:rPr>
                <w:rFonts w:ascii="Arial" w:hAnsi="Arial" w:cs="Arial"/>
                <w:color w:val="000000" w:themeColor="text1"/>
              </w:rPr>
              <w:t xml:space="preserve"> el 09 de diciembre de 2016, mediante la Resolución No. 110</w:t>
            </w:r>
            <w:r w:rsidRPr="008B20CE">
              <w:rPr>
                <w:rFonts w:ascii="Arial" w:hAnsi="Arial" w:cs="Arial"/>
                <w:color w:val="000000" w:themeColor="text1"/>
              </w:rPr>
              <w:t>.</w:t>
            </w:r>
          </w:p>
          <w:p w:rsidR="00465499" w:rsidRDefault="00BD2804" w:rsidP="003E18A4">
            <w:pPr>
              <w:tabs>
                <w:tab w:val="left" w:pos="3255"/>
              </w:tabs>
              <w:jc w:val="both"/>
              <w:rPr>
                <w:rFonts w:ascii="Arial" w:hAnsi="Arial" w:cs="Arial"/>
                <w:color w:val="000000" w:themeColor="text1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>E</w:t>
            </w:r>
            <w:r w:rsidR="009F1AA0" w:rsidRPr="008B20CE">
              <w:rPr>
                <w:rFonts w:ascii="Arial" w:hAnsi="Arial" w:cs="Arial"/>
                <w:color w:val="000000" w:themeColor="text1"/>
              </w:rPr>
              <w:t xml:space="preserve">n la entrega </w:t>
            </w:r>
            <w:r w:rsidR="00AE14DC" w:rsidRPr="008B20CE">
              <w:rPr>
                <w:rFonts w:ascii="Arial" w:hAnsi="Arial" w:cs="Arial"/>
                <w:color w:val="000000" w:themeColor="text1"/>
              </w:rPr>
              <w:t>de</w:t>
            </w:r>
            <w:r w:rsidR="009F1AA0" w:rsidRPr="008B20CE">
              <w:rPr>
                <w:rFonts w:ascii="Arial" w:hAnsi="Arial" w:cs="Arial"/>
                <w:color w:val="000000" w:themeColor="text1"/>
              </w:rPr>
              <w:t xml:space="preserve"> la información por parte de algunos líderes de </w:t>
            </w:r>
            <w:r w:rsidR="00596117" w:rsidRPr="008B20CE">
              <w:rPr>
                <w:rFonts w:ascii="Arial" w:hAnsi="Arial" w:cs="Arial"/>
                <w:color w:val="000000" w:themeColor="text1"/>
              </w:rPr>
              <w:t>procesos referentes</w:t>
            </w:r>
            <w:r w:rsidR="009F1AA0" w:rsidRPr="008B20CE">
              <w:rPr>
                <w:rFonts w:ascii="Arial" w:hAnsi="Arial" w:cs="Arial"/>
                <w:color w:val="000000" w:themeColor="text1"/>
              </w:rPr>
              <w:t xml:space="preserve"> a los avances de las actividades desarrolladas </w:t>
            </w:r>
            <w:r w:rsidR="00596117" w:rsidRPr="008B20CE">
              <w:rPr>
                <w:rFonts w:ascii="Arial" w:hAnsi="Arial" w:cs="Arial"/>
                <w:color w:val="000000" w:themeColor="text1"/>
              </w:rPr>
              <w:t xml:space="preserve">y demás información necesaria para </w:t>
            </w:r>
            <w:r w:rsidR="00AE14DC" w:rsidRPr="008B20CE">
              <w:rPr>
                <w:rFonts w:ascii="Arial" w:hAnsi="Arial" w:cs="Arial"/>
                <w:color w:val="000000" w:themeColor="text1"/>
              </w:rPr>
              <w:t>los</w:t>
            </w:r>
            <w:r w:rsidR="00596117" w:rsidRPr="008B20CE">
              <w:rPr>
                <w:rFonts w:ascii="Arial" w:hAnsi="Arial" w:cs="Arial"/>
                <w:color w:val="000000" w:themeColor="text1"/>
              </w:rPr>
              <w:t xml:space="preserve"> informes de seguimientos y evaluación. </w:t>
            </w:r>
          </w:p>
          <w:p w:rsidR="003E18A4" w:rsidRPr="008B20CE" w:rsidRDefault="003E18A4" w:rsidP="003E18A4">
            <w:pPr>
              <w:tabs>
                <w:tab w:val="left" w:pos="3255"/>
              </w:tabs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67829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6A66EF">
            <w:pPr>
              <w:pStyle w:val="Sinespaciado"/>
              <w:rPr>
                <w:rStyle w:val="Textoennegrita"/>
                <w:rFonts w:ascii="Arial" w:hAnsi="Arial" w:cs="Arial"/>
                <w:color w:val="FFFFFF" w:themeColor="background1"/>
              </w:rPr>
            </w:pPr>
            <w:r w:rsidRPr="008B20CE">
              <w:rPr>
                <w:rStyle w:val="Textoennegrita"/>
                <w:rFonts w:ascii="Arial" w:hAnsi="Arial" w:cs="Arial"/>
                <w:color w:val="FFFFFF" w:themeColor="background1"/>
              </w:rPr>
              <w:t>Avances</w:t>
            </w:r>
          </w:p>
          <w:p w:rsidR="002B161E" w:rsidRPr="008B20CE" w:rsidRDefault="002B161E" w:rsidP="006A66EF">
            <w:pPr>
              <w:pStyle w:val="Sinespaciado"/>
              <w:rPr>
                <w:rFonts w:ascii="Arial" w:hAnsi="Arial" w:cs="Arial"/>
                <w:color w:val="0070C0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18A4" w:rsidRDefault="003E18A4" w:rsidP="001B1C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1B1C24" w:rsidRPr="008B20CE" w:rsidRDefault="00A3642F" w:rsidP="001B1C2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En cumplimiento del Programa Anual de Auditorías Internas de Gestión </w:t>
            </w:r>
            <w:r w:rsidR="00596117"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correspondiente a la vigencia </w:t>
            </w:r>
            <w:r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>201</w:t>
            </w:r>
            <w:r w:rsidR="001B1C24"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>7</w:t>
            </w:r>
            <w:r w:rsidR="00596117"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>,</w:t>
            </w:r>
            <w:r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la Oficina de Control Interno </w:t>
            </w:r>
            <w:r w:rsidR="001B1C24"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>durante el periodo evaluado elabora</w:t>
            </w:r>
            <w:r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informe definitivo como resultado de la auditoría interna de ges</w:t>
            </w:r>
            <w:r w:rsidR="001B1C24" w:rsidRPr="008B20CE">
              <w:rPr>
                <w:rFonts w:ascii="Arial" w:eastAsia="Times New Roman" w:hAnsi="Arial" w:cs="Arial"/>
                <w:color w:val="000000" w:themeColor="text1"/>
                <w:lang w:eastAsia="es-CO"/>
              </w:rPr>
              <w:t>tión realizada a los procesos: Adquisiciones de Bines y Servicios, Talento Humano y Gestión Financiera.</w:t>
            </w:r>
          </w:p>
          <w:p w:rsidR="00351DE9" w:rsidRPr="00713FA7" w:rsidRDefault="00351DE9" w:rsidP="00351DE9">
            <w:pPr>
              <w:jc w:val="both"/>
              <w:rPr>
                <w:rFonts w:ascii="Arial" w:hAnsi="Arial" w:cs="Arial"/>
                <w:color w:val="FF0000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 xml:space="preserve">Con el fin de determinar la existencia, suficiencia y aplicabilidad de los controles internos relacionados con las operaciones ejecutadas a través de los fondos de caja menor y conceptualizar sobre lo adecuado del mismo; en cumplimiento de las normas, disposiciones legales vigentes, las políticas y los procedimientos establecidos por la entidad para su manejo, se realizó el </w:t>
            </w:r>
            <w:r w:rsidR="001B1C24" w:rsidRPr="008B20CE">
              <w:rPr>
                <w:rFonts w:ascii="Arial" w:hAnsi="Arial" w:cs="Arial"/>
                <w:color w:val="000000" w:themeColor="text1"/>
              </w:rPr>
              <w:t xml:space="preserve">24 de marzo, 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por parte de la </w:t>
            </w:r>
            <w:r w:rsidRPr="00713FA7">
              <w:rPr>
                <w:rFonts w:ascii="Arial" w:hAnsi="Arial" w:cs="Arial"/>
                <w:color w:val="000000" w:themeColor="text1"/>
              </w:rPr>
              <w:t xml:space="preserve">oficina de control interno el Arqueo a Caja Menor de la Entidad, evidenciando  que no se presentaron </w:t>
            </w:r>
            <w:r w:rsidRPr="00713FA7">
              <w:rPr>
                <w:rFonts w:ascii="Arial" w:hAnsi="Arial" w:cs="Arial"/>
                <w:color w:val="000000" w:themeColor="text1"/>
              </w:rPr>
              <w:lastRenderedPageBreak/>
              <w:t>diferencias y el funcionario encargado realiza un eficiente manejo y control del mismo</w:t>
            </w:r>
            <w:r w:rsidRPr="00713FA7">
              <w:rPr>
                <w:rFonts w:ascii="Arial" w:hAnsi="Arial" w:cs="Arial"/>
                <w:color w:val="FF0000"/>
              </w:rPr>
              <w:t>.</w:t>
            </w:r>
          </w:p>
          <w:p w:rsidR="00713FA7" w:rsidRPr="00713FA7" w:rsidRDefault="001B1C24" w:rsidP="00713FA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s-CO"/>
              </w:rPr>
            </w:pPr>
            <w:r w:rsidRPr="00713FA7">
              <w:rPr>
                <w:rFonts w:ascii="Arial" w:hAnsi="Arial" w:cs="Arial"/>
                <w:color w:val="000000" w:themeColor="text1"/>
              </w:rPr>
              <w:t xml:space="preserve">En </w:t>
            </w:r>
            <w:r w:rsidR="00713FA7" w:rsidRPr="00713FA7">
              <w:rPr>
                <w:rFonts w:ascii="Arial" w:hAnsi="Arial" w:cs="Arial"/>
                <w:lang w:eastAsia="es-CO"/>
              </w:rPr>
              <w:t xml:space="preserve">  cumplimiento del artículo 73 de la Ley 1474 de 2011  Estatuto Anticorrupción y d</w:t>
            </w:r>
            <w:r w:rsidRPr="00713FA7">
              <w:rPr>
                <w:rFonts w:ascii="Arial" w:hAnsi="Arial" w:cs="Arial"/>
                <w:color w:val="000000" w:themeColor="text1"/>
              </w:rPr>
              <w:t xml:space="preserve">el Decreto 124 de enero 26 de 2016, por el cual se sustituye el Título 4 de la Parte 1 del Libro 2 del Decreto 1081 de 2015, se realizó en el mes </w:t>
            </w:r>
            <w:r w:rsidR="00713FA7" w:rsidRPr="00713FA7">
              <w:rPr>
                <w:rFonts w:ascii="Arial" w:hAnsi="Arial" w:cs="Arial"/>
                <w:color w:val="000000" w:themeColor="text1"/>
              </w:rPr>
              <w:t>d</w:t>
            </w:r>
            <w:r w:rsidRPr="00713FA7">
              <w:rPr>
                <w:rFonts w:ascii="Arial" w:hAnsi="Arial" w:cs="Arial"/>
                <w:color w:val="000000" w:themeColor="text1"/>
              </w:rPr>
              <w:t xml:space="preserve">e mayo </w:t>
            </w:r>
            <w:r w:rsidR="00713FA7" w:rsidRPr="00713FA7">
              <w:rPr>
                <w:rFonts w:ascii="Arial" w:hAnsi="Arial" w:cs="Arial"/>
                <w:color w:val="000000" w:themeColor="text1"/>
              </w:rPr>
              <w:t xml:space="preserve">el informe del primer </w:t>
            </w:r>
            <w:r w:rsidRPr="00713FA7">
              <w:rPr>
                <w:rFonts w:ascii="Arial" w:hAnsi="Arial" w:cs="Arial"/>
                <w:color w:val="000000" w:themeColor="text1"/>
              </w:rPr>
              <w:t xml:space="preserve">seguimiento y control a las </w:t>
            </w:r>
            <w:r w:rsidR="00713FA7" w:rsidRPr="00713FA7">
              <w:rPr>
                <w:rFonts w:ascii="Arial" w:hAnsi="Arial" w:cs="Arial"/>
                <w:color w:val="000000" w:themeColor="text1"/>
              </w:rPr>
              <w:t xml:space="preserve">implementación  y a los avances de las </w:t>
            </w:r>
            <w:r w:rsidRPr="00713FA7">
              <w:rPr>
                <w:rFonts w:ascii="Arial" w:hAnsi="Arial" w:cs="Arial"/>
                <w:color w:val="000000" w:themeColor="text1"/>
              </w:rPr>
              <w:t xml:space="preserve">actividades </w:t>
            </w:r>
            <w:r w:rsidR="00713FA7" w:rsidRPr="00713FA7">
              <w:rPr>
                <w:rFonts w:ascii="Arial" w:hAnsi="Arial" w:cs="Arial"/>
                <w:color w:val="000000" w:themeColor="text1"/>
              </w:rPr>
              <w:t>consignadas</w:t>
            </w:r>
            <w:r w:rsidRPr="00713FA7">
              <w:rPr>
                <w:rFonts w:ascii="Arial" w:hAnsi="Arial" w:cs="Arial"/>
                <w:color w:val="000000" w:themeColor="text1"/>
              </w:rPr>
              <w:t xml:space="preserve"> en el Plan Anticorrupción y de Atención al Ciudadano,</w:t>
            </w:r>
            <w:r w:rsidR="00713FA7" w:rsidRPr="00713FA7">
              <w:rPr>
                <w:rFonts w:ascii="Arial" w:hAnsi="Arial" w:cs="Arial"/>
                <w:lang w:eastAsia="es-CO"/>
              </w:rPr>
              <w:t xml:space="preserve"> adoptado  por la Contraloría General del Departamento Archipiélago según Resolución 017 del 31 de enero de 2017. </w:t>
            </w:r>
          </w:p>
          <w:p w:rsidR="00BE7549" w:rsidRDefault="001B1C24" w:rsidP="00713FA7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713FA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1569E3" w:rsidRPr="00713FA7">
              <w:rPr>
                <w:rFonts w:ascii="Arial" w:hAnsi="Arial" w:cs="Arial"/>
                <w:color w:val="000000" w:themeColor="text1"/>
              </w:rPr>
              <w:t>En el mes de marzo y dentro de los términos señalados para ello, se realizó el informe de verificación de cumplimiento de las normas en materia de Derecho de Autor sobre programas de computador</w:t>
            </w:r>
            <w:r w:rsidR="001569E3" w:rsidRPr="008B20CE">
              <w:rPr>
                <w:rFonts w:ascii="Arial" w:hAnsi="Arial" w:cs="Arial"/>
                <w:color w:val="000000" w:themeColor="text1"/>
              </w:rPr>
              <w:t xml:space="preserve"> (software) correspondiente a la vigencia 2016.</w:t>
            </w:r>
          </w:p>
          <w:p w:rsidR="001569E3" w:rsidRPr="008B20CE" w:rsidRDefault="001569E3" w:rsidP="001B1C24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05396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402DD" w:rsidP="005B430A">
            <w:pPr>
              <w:pStyle w:val="Sinespaciado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8B20CE">
              <w:rPr>
                <w:rFonts w:ascii="Arial" w:hAnsi="Arial" w:cs="Arial"/>
                <w:b/>
                <w:color w:val="FFFFFF" w:themeColor="background1"/>
              </w:rPr>
              <w:lastRenderedPageBreak/>
              <w:t xml:space="preserve">EJE TRANSVERSAL DE INFORMACIÓN Y COMUNICACIÓN </w:t>
            </w:r>
          </w:p>
          <w:p w:rsidR="002B161E" w:rsidRPr="008B20CE" w:rsidRDefault="002B161E" w:rsidP="005B430A">
            <w:pPr>
              <w:pStyle w:val="Sinespaciado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67829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6A66EF">
            <w:pPr>
              <w:pStyle w:val="Sinespaciado"/>
              <w:jc w:val="both"/>
              <w:rPr>
                <w:rStyle w:val="Textoennegrita"/>
                <w:rFonts w:ascii="Arial" w:hAnsi="Arial" w:cs="Arial"/>
                <w:color w:val="FFFFFF" w:themeColor="background1"/>
              </w:rPr>
            </w:pPr>
            <w:r w:rsidRPr="008B20CE">
              <w:rPr>
                <w:rStyle w:val="Textoennegrita"/>
                <w:rFonts w:ascii="Arial" w:hAnsi="Arial" w:cs="Arial"/>
                <w:color w:val="FFFFFF" w:themeColor="background1"/>
              </w:rPr>
              <w:t>Dificultades</w:t>
            </w:r>
          </w:p>
          <w:p w:rsidR="002B161E" w:rsidRPr="008B20CE" w:rsidRDefault="002B161E" w:rsidP="006A66EF">
            <w:pPr>
              <w:pStyle w:val="Sinespaciado"/>
              <w:jc w:val="both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E6520" w:rsidRPr="008B20CE" w:rsidRDefault="003E6520" w:rsidP="003E652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3E6520" w:rsidRPr="008B20CE" w:rsidRDefault="003E6520" w:rsidP="003E6520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>En la</w:t>
            </w:r>
            <w:r w:rsidR="00D82178" w:rsidRPr="008B20C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oportunidad </w:t>
            </w:r>
            <w:r w:rsidR="00D82178" w:rsidRPr="008B20CE">
              <w:rPr>
                <w:rFonts w:ascii="Arial" w:hAnsi="Arial" w:cs="Arial"/>
                <w:color w:val="000000" w:themeColor="text1"/>
              </w:rPr>
              <w:t xml:space="preserve">de las </w:t>
            </w:r>
            <w:r w:rsidRPr="008B20CE">
              <w:rPr>
                <w:rFonts w:ascii="Arial" w:hAnsi="Arial" w:cs="Arial"/>
                <w:color w:val="000000" w:themeColor="text1"/>
              </w:rPr>
              <w:t>publicaciones</w:t>
            </w:r>
            <w:r w:rsidR="00C90409" w:rsidRPr="008B20CE">
              <w:rPr>
                <w:rFonts w:ascii="Arial" w:hAnsi="Arial" w:cs="Arial"/>
                <w:color w:val="000000" w:themeColor="text1"/>
              </w:rPr>
              <w:t xml:space="preserve"> en la página web institucional</w:t>
            </w:r>
            <w:r w:rsidR="003E18A4">
              <w:rPr>
                <w:rFonts w:ascii="Arial" w:hAnsi="Arial" w:cs="Arial"/>
                <w:color w:val="000000" w:themeColor="text1"/>
              </w:rPr>
              <w:t xml:space="preserve"> de:</w:t>
            </w:r>
            <w:r w:rsidR="002D18A5" w:rsidRPr="008B20CE">
              <w:rPr>
                <w:rFonts w:ascii="Arial" w:hAnsi="Arial" w:cs="Arial"/>
                <w:color w:val="000000" w:themeColor="text1"/>
              </w:rPr>
              <w:t xml:space="preserve"> informes</w:t>
            </w:r>
            <w:r w:rsidR="00B70D11" w:rsidRPr="008B20CE">
              <w:rPr>
                <w:rFonts w:ascii="Arial" w:hAnsi="Arial" w:cs="Arial"/>
                <w:color w:val="000000" w:themeColor="text1"/>
              </w:rPr>
              <w:t xml:space="preserve"> definitivos de auditoría modalidad regular vigencia 2016, informe de seguimiento de actividades auditoras y participación ciudadana</w:t>
            </w:r>
            <w:r w:rsidR="00D47853" w:rsidRPr="008B20CE">
              <w:rPr>
                <w:rFonts w:ascii="Arial" w:hAnsi="Arial" w:cs="Arial"/>
                <w:color w:val="000000" w:themeColor="text1"/>
              </w:rPr>
              <w:t xml:space="preserve"> y</w:t>
            </w:r>
            <w:r w:rsidR="00F209BE" w:rsidRPr="008B20C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70D11" w:rsidRPr="008B20CE">
              <w:rPr>
                <w:rFonts w:ascii="Arial" w:hAnsi="Arial" w:cs="Arial"/>
                <w:color w:val="000000" w:themeColor="text1"/>
              </w:rPr>
              <w:t>estados financieros</w:t>
            </w:r>
            <w:r w:rsidR="00D47853" w:rsidRPr="008B20CE">
              <w:rPr>
                <w:rFonts w:ascii="Arial" w:hAnsi="Arial" w:cs="Arial"/>
                <w:color w:val="000000" w:themeColor="text1"/>
              </w:rPr>
              <w:t>.</w:t>
            </w:r>
          </w:p>
          <w:p w:rsidR="003E6520" w:rsidRPr="008B20CE" w:rsidRDefault="003E6520" w:rsidP="003E6520">
            <w:pPr>
              <w:spacing w:after="0" w:line="240" w:lineRule="auto"/>
              <w:jc w:val="both"/>
              <w:rPr>
                <w:rFonts w:ascii="Arial" w:hAnsi="Arial" w:cs="Arial"/>
                <w:color w:val="FF0000"/>
              </w:rPr>
            </w:pPr>
          </w:p>
          <w:p w:rsidR="00FC6424" w:rsidRPr="008B20CE" w:rsidRDefault="004F0215" w:rsidP="00E613D9">
            <w:pPr>
              <w:jc w:val="both"/>
              <w:rPr>
                <w:rFonts w:ascii="Arial" w:hAnsi="Arial" w:cs="Arial"/>
              </w:rPr>
            </w:pPr>
            <w:r w:rsidRPr="008B20CE">
              <w:rPr>
                <w:rFonts w:ascii="Arial" w:hAnsi="Arial" w:cs="Arial"/>
              </w:rPr>
              <w:t>En la entrega de información</w:t>
            </w:r>
            <w:r w:rsidR="00F41F22" w:rsidRPr="008B20CE">
              <w:rPr>
                <w:rFonts w:ascii="Arial" w:hAnsi="Arial" w:cs="Arial"/>
              </w:rPr>
              <w:t xml:space="preserve"> de manera oportuna y de acuerdo a especificaciones establecidas</w:t>
            </w:r>
            <w:r w:rsidR="009F480E" w:rsidRPr="008B20CE">
              <w:rPr>
                <w:rFonts w:ascii="Arial" w:hAnsi="Arial" w:cs="Arial"/>
              </w:rPr>
              <w:t xml:space="preserve"> por parte de algunas D</w:t>
            </w:r>
            <w:r w:rsidRPr="008B20CE">
              <w:rPr>
                <w:rFonts w:ascii="Arial" w:hAnsi="Arial" w:cs="Arial"/>
              </w:rPr>
              <w:t>ependencias</w:t>
            </w:r>
            <w:r w:rsidR="009F480E" w:rsidRPr="008B20CE">
              <w:rPr>
                <w:rFonts w:ascii="Arial" w:hAnsi="Arial" w:cs="Arial"/>
              </w:rPr>
              <w:t xml:space="preserve"> de la Entidad</w:t>
            </w:r>
            <w:r w:rsidR="00F41F22" w:rsidRPr="008B20CE">
              <w:rPr>
                <w:rFonts w:ascii="Arial" w:hAnsi="Arial" w:cs="Arial"/>
              </w:rPr>
              <w:t xml:space="preserve">, lo que dificulta el análisis de la información suministrada y el </w:t>
            </w:r>
            <w:r w:rsidR="003E18A4">
              <w:rPr>
                <w:rFonts w:ascii="Arial" w:hAnsi="Arial" w:cs="Arial"/>
              </w:rPr>
              <w:t xml:space="preserve">riesgo de no </w:t>
            </w:r>
            <w:r w:rsidR="00F41F22" w:rsidRPr="008B20CE">
              <w:rPr>
                <w:rFonts w:ascii="Arial" w:hAnsi="Arial" w:cs="Arial"/>
              </w:rPr>
              <w:t>cumplimiento</w:t>
            </w:r>
            <w:r w:rsidR="003E18A4">
              <w:rPr>
                <w:rFonts w:ascii="Arial" w:hAnsi="Arial" w:cs="Arial"/>
              </w:rPr>
              <w:t xml:space="preserve"> dentro de los términos previsto para la elaboración</w:t>
            </w:r>
            <w:r w:rsidR="00F41F22" w:rsidRPr="008B20CE">
              <w:rPr>
                <w:rFonts w:ascii="Arial" w:hAnsi="Arial" w:cs="Arial"/>
              </w:rPr>
              <w:t xml:space="preserve"> </w:t>
            </w:r>
            <w:r w:rsidRPr="008B20CE">
              <w:rPr>
                <w:rFonts w:ascii="Arial" w:hAnsi="Arial" w:cs="Arial"/>
                <w:color w:val="000000" w:themeColor="text1"/>
              </w:rPr>
              <w:t>d</w:t>
            </w:r>
            <w:r w:rsidR="00F41F22" w:rsidRPr="008B20CE">
              <w:rPr>
                <w:rFonts w:ascii="Arial" w:hAnsi="Arial" w:cs="Arial"/>
                <w:color w:val="000000" w:themeColor="text1"/>
              </w:rPr>
              <w:t>el informe respectivo</w:t>
            </w:r>
            <w:r w:rsidR="00F41F22" w:rsidRPr="008B20CE">
              <w:rPr>
                <w:rFonts w:ascii="Arial" w:hAnsi="Arial" w:cs="Arial"/>
              </w:rPr>
              <w:t xml:space="preserve">. </w:t>
            </w:r>
          </w:p>
          <w:p w:rsidR="00E613D9" w:rsidRPr="008B20CE" w:rsidRDefault="00E613D9" w:rsidP="00E613D9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rHeight w:val="50"/>
          <w:tblCellSpacing w:w="15" w:type="dxa"/>
        </w:trPr>
        <w:tc>
          <w:tcPr>
            <w:tcW w:w="4655" w:type="pct"/>
            <w:shd w:val="clear" w:color="auto" w:fill="67829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6A66EF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8B20CE">
              <w:rPr>
                <w:rStyle w:val="Textoennegrita"/>
                <w:rFonts w:ascii="Arial" w:hAnsi="Arial" w:cs="Arial"/>
                <w:color w:val="FFFFFF" w:themeColor="background1"/>
              </w:rPr>
              <w:t>Avances</w:t>
            </w: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4C91" w:rsidRPr="008B20CE" w:rsidRDefault="00C14C91" w:rsidP="00505E9B">
            <w:pPr>
              <w:pStyle w:val="Default"/>
              <w:jc w:val="both"/>
              <w:rPr>
                <w:color w:val="FF0000"/>
                <w:sz w:val="22"/>
                <w:szCs w:val="22"/>
              </w:rPr>
            </w:pPr>
          </w:p>
          <w:p w:rsidR="00954CE6" w:rsidRPr="008B20CE" w:rsidRDefault="004E492E" w:rsidP="007E3C0D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Durante el período evaluado se adelantaron actividades de socialización y sensibilización al interior de la Entidad </w:t>
            </w:r>
            <w:r w:rsidRPr="008B20CE">
              <w:rPr>
                <w:color w:val="000000" w:themeColor="text1"/>
                <w:sz w:val="22"/>
                <w:szCs w:val="22"/>
              </w:rPr>
              <w:t xml:space="preserve"> del Sistema de Gestión de la Seguridad y Salud en el Trabajo (SG-SST</w:t>
            </w:r>
            <w:r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en cumplimiento del </w:t>
            </w:r>
            <w:r w:rsidRPr="008B20CE">
              <w:rPr>
                <w:color w:val="000000" w:themeColor="text1"/>
                <w:sz w:val="22"/>
                <w:szCs w:val="22"/>
              </w:rPr>
              <w:t xml:space="preserve"> Plan de Trabajo Anual, entre otras:  entrega de plegables alusivas al tema de incidentes y accidentes de trabajo y peligros de una mala postura; publicación en lugar visible de la entidad de </w:t>
            </w:r>
            <w:r w:rsidR="00654FFC" w:rsidRPr="008B20CE">
              <w:rPr>
                <w:color w:val="000000" w:themeColor="text1"/>
                <w:sz w:val="22"/>
                <w:szCs w:val="22"/>
              </w:rPr>
              <w:t xml:space="preserve">afiches alusivas a los siguientes temas: Qué hacer en caso de accidente de trabajo, recomendaciones de actividades de pausas activa que se pueden hacer en 5 minutos, </w:t>
            </w:r>
            <w:r w:rsidR="00131E23" w:rsidRPr="008B20CE">
              <w:rPr>
                <w:color w:val="000000" w:themeColor="text1"/>
                <w:sz w:val="22"/>
                <w:szCs w:val="22"/>
              </w:rPr>
              <w:t xml:space="preserve">y </w:t>
            </w:r>
            <w:r w:rsidR="00654FFC" w:rsidRPr="008B20CE">
              <w:rPr>
                <w:color w:val="000000" w:themeColor="text1"/>
                <w:sz w:val="22"/>
                <w:szCs w:val="22"/>
              </w:rPr>
              <w:t>cómo prevenir enfermedades cardiovasculares</w:t>
            </w:r>
            <w:r w:rsidR="00131E23" w:rsidRPr="008B20CE">
              <w:rPr>
                <w:color w:val="000000" w:themeColor="text1"/>
                <w:sz w:val="22"/>
                <w:szCs w:val="22"/>
              </w:rPr>
              <w:t>.</w:t>
            </w:r>
          </w:p>
          <w:p w:rsidR="00954CE6" w:rsidRPr="008B20CE" w:rsidRDefault="00954CE6" w:rsidP="007E3C0D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93558C" w:rsidRPr="008B20CE" w:rsidRDefault="00A75E07" w:rsidP="0093558C">
            <w:pPr>
              <w:jc w:val="both"/>
            </w:pPr>
            <w:r w:rsidRPr="008B20CE">
              <w:rPr>
                <w:rFonts w:ascii="Arial" w:hAnsi="Arial" w:cs="Arial"/>
              </w:rPr>
              <w:t xml:space="preserve">Con el fin de hacer más visible la gestión de la Entidad a </w:t>
            </w:r>
            <w:r w:rsidR="00F01A86" w:rsidRPr="008B20CE">
              <w:rPr>
                <w:rFonts w:ascii="Arial" w:hAnsi="Arial" w:cs="Arial"/>
              </w:rPr>
              <w:t>la ciudadanía,</w:t>
            </w:r>
            <w:r w:rsidRPr="008B20CE">
              <w:rPr>
                <w:rFonts w:ascii="Arial" w:hAnsi="Arial" w:cs="Arial"/>
              </w:rPr>
              <w:t xml:space="preserve"> se </w:t>
            </w:r>
            <w:r w:rsidR="00F01A86" w:rsidRPr="008B20CE">
              <w:rPr>
                <w:rFonts w:ascii="Arial" w:hAnsi="Arial" w:cs="Arial"/>
              </w:rPr>
              <w:t>cre</w:t>
            </w:r>
            <w:r w:rsidR="0093558C" w:rsidRPr="008B20CE">
              <w:rPr>
                <w:rFonts w:ascii="Arial" w:hAnsi="Arial" w:cs="Arial"/>
              </w:rPr>
              <w:t>ó</w:t>
            </w:r>
            <w:r w:rsidR="00F01A86" w:rsidRPr="008B20CE">
              <w:rPr>
                <w:rFonts w:ascii="Arial" w:hAnsi="Arial" w:cs="Arial"/>
              </w:rPr>
              <w:t xml:space="preserve"> </w:t>
            </w:r>
            <w:r w:rsidRPr="008B20CE">
              <w:rPr>
                <w:rFonts w:ascii="Arial" w:hAnsi="Arial" w:cs="Arial"/>
              </w:rPr>
              <w:t xml:space="preserve">en la página web de la Entidad  varios sub menús y  secciones como se relacionan a continuación: 1)  </w:t>
            </w:r>
            <w:r w:rsidRPr="008B20CE">
              <w:rPr>
                <w:rFonts w:ascii="Arial" w:hAnsi="Arial" w:cs="Arial"/>
                <w:color w:val="000000" w:themeColor="text1"/>
              </w:rPr>
              <w:t>D</w:t>
            </w:r>
            <w:r w:rsidR="00FE6439" w:rsidRPr="008B20CE">
              <w:rPr>
                <w:rFonts w:ascii="Arial" w:hAnsi="Arial" w:cs="Arial"/>
                <w:color w:val="000000" w:themeColor="text1"/>
              </w:rPr>
              <w:t>entro del menú de</w:t>
            </w:r>
            <w:r w:rsidR="00F01A86" w:rsidRPr="008B20CE">
              <w:rPr>
                <w:rFonts w:ascii="Arial" w:hAnsi="Arial" w:cs="Arial"/>
                <w:color w:val="000000" w:themeColor="text1"/>
              </w:rPr>
              <w:t xml:space="preserve"> Comunicaciones los </w:t>
            </w:r>
            <w:r w:rsidR="00FE6439" w:rsidRPr="008B20CE">
              <w:rPr>
                <w:rFonts w:ascii="Arial" w:hAnsi="Arial" w:cs="Arial"/>
                <w:color w:val="000000" w:themeColor="text1"/>
              </w:rPr>
              <w:t xml:space="preserve">sub </w:t>
            </w:r>
            <w:r w:rsidR="00F01A86" w:rsidRPr="008B20CE">
              <w:rPr>
                <w:rFonts w:ascii="Arial" w:hAnsi="Arial" w:cs="Arial"/>
                <w:color w:val="000000" w:themeColor="text1"/>
              </w:rPr>
              <w:t>menús</w:t>
            </w:r>
            <w:r w:rsidR="00FE6439" w:rsidRPr="008B20CE">
              <w:rPr>
                <w:rFonts w:ascii="Arial" w:hAnsi="Arial" w:cs="Arial"/>
                <w:color w:val="000000" w:themeColor="text1"/>
              </w:rPr>
              <w:t>: Infografía, Prensa Escrita y Portales Web</w:t>
            </w:r>
            <w:r w:rsidR="00F01A86" w:rsidRPr="008B20CE">
              <w:rPr>
                <w:rFonts w:ascii="Arial" w:hAnsi="Arial" w:cs="Arial"/>
                <w:color w:val="000000" w:themeColor="text1"/>
              </w:rPr>
              <w:t xml:space="preserve"> y </w:t>
            </w:r>
            <w:r w:rsidR="00FE6439" w:rsidRPr="008B20CE">
              <w:rPr>
                <w:rFonts w:ascii="Arial" w:hAnsi="Arial" w:cs="Arial"/>
                <w:bCs/>
                <w:color w:val="000000" w:themeColor="text1"/>
              </w:rPr>
              <w:t>Datos Abiertos,</w:t>
            </w:r>
            <w:r w:rsidR="00FE6439" w:rsidRPr="008B20C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F01A86" w:rsidRPr="008B20CE">
              <w:rPr>
                <w:rFonts w:ascii="Arial" w:hAnsi="Arial" w:cs="Arial"/>
                <w:bCs/>
                <w:color w:val="000000" w:themeColor="text1"/>
              </w:rPr>
              <w:t>éste último</w:t>
            </w:r>
            <w:r w:rsidR="00F01A86" w:rsidRPr="008B20C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3558C" w:rsidRPr="008B20C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se encuentra vinculado con el portal de datos abiertos del Estado colombiano en </w:t>
            </w:r>
            <w:hyperlink r:id="rId9" w:history="1">
              <w:r w:rsidR="0093558C" w:rsidRPr="008B20CE">
                <w:rPr>
                  <w:rStyle w:val="Hipervnculo"/>
                  <w:rFonts w:ascii="Arial" w:hAnsi="Arial" w:cs="Arial"/>
                  <w:bCs/>
                </w:rPr>
                <w:t>https://datos.gov.co/</w:t>
              </w:r>
            </w:hyperlink>
            <w:r w:rsidR="0093558C" w:rsidRPr="008B20CE">
              <w:rPr>
                <w:rFonts w:ascii="Arial" w:hAnsi="Arial" w:cs="Arial"/>
                <w:bCs/>
                <w:color w:val="000000" w:themeColor="text1"/>
              </w:rPr>
              <w:t xml:space="preserve">, en cumplimiento a lo señalado en normatividad vigente en la materia. 2) el sub menú </w:t>
            </w:r>
            <w:r w:rsidR="0093558C" w:rsidRPr="008B20CE">
              <w:rPr>
                <w:rFonts w:ascii="Arial" w:hAnsi="Arial" w:cs="Arial"/>
                <w:b/>
                <w:bCs/>
                <w:color w:val="000000" w:themeColor="text1"/>
              </w:rPr>
              <w:t xml:space="preserve">Avisos y Notificaciones Responsabilidad Fiscal y Jurisdicción Coactiva, </w:t>
            </w:r>
            <w:r w:rsidR="0093558C" w:rsidRPr="008B20CE">
              <w:rPr>
                <w:rFonts w:ascii="Arial" w:hAnsi="Arial" w:cs="Arial"/>
                <w:color w:val="000000" w:themeColor="text1"/>
                <w:shd w:val="clear" w:color="auto" w:fill="FFFFFF"/>
              </w:rPr>
              <w:t>en el cual  se publican los avisos y comunicaciones generadas en el trámite de la respectiva D</w:t>
            </w:r>
            <w:r w:rsidR="0093558C" w:rsidRPr="008B20CE">
              <w:rPr>
                <w:rStyle w:val="Textoennegrita"/>
                <w:rFonts w:ascii="Arial" w:hAnsi="Arial" w:cs="Arial"/>
                <w:b w:val="0"/>
                <w:bCs w:val="0"/>
                <w:color w:val="000000" w:themeColor="text1"/>
              </w:rPr>
              <w:t>ependencia</w:t>
            </w:r>
            <w:r w:rsidR="0093558C" w:rsidRPr="008B20CE">
              <w:rPr>
                <w:rFonts w:ascii="Arial" w:hAnsi="Arial" w:cs="Arial"/>
                <w:color w:val="000000" w:themeColor="text1"/>
              </w:rPr>
              <w:t>, en cumplimiento a lo dispuesto en la Ley 610 de 2000</w:t>
            </w:r>
            <w:r w:rsidR="0093558C" w:rsidRPr="008B20CE">
              <w:rPr>
                <w:rFonts w:ascii="Arial" w:hAnsi="Arial" w:cs="Arial"/>
              </w:rPr>
              <w:t>, la Ley 1474 de 2011, el Código Contencioso Administrativo y de Procedimiento Administrativo.</w:t>
            </w:r>
          </w:p>
          <w:p w:rsidR="004E492E" w:rsidRPr="008B20CE" w:rsidRDefault="004E492E" w:rsidP="007E3C0D">
            <w:pPr>
              <w:pStyle w:val="Default"/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843BD7" w:rsidRPr="008B20CE" w:rsidRDefault="0093558C" w:rsidP="007E3C0D">
            <w:pPr>
              <w:pStyle w:val="Default"/>
              <w:jc w:val="both"/>
              <w:rPr>
                <w:color w:val="FF0000"/>
                <w:sz w:val="22"/>
                <w:szCs w:val="22"/>
                <w:u w:val="single"/>
              </w:rPr>
            </w:pPr>
            <w:r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>Los días 30 y 31 de marzo en la Isla de San Andrés y en el Municipio de Providencia y Santa Catalina respectivamente l</w:t>
            </w:r>
            <w:r w:rsidR="00720C49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a </w:t>
            </w:r>
            <w:r w:rsidR="00130EDF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>Contraloría Departamental realizó</w:t>
            </w:r>
            <w:r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la audiencia pública de rendición de cuentas</w:t>
            </w:r>
            <w:r w:rsidR="00130EDF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en donde se hizo la presentación del </w:t>
            </w:r>
            <w:r w:rsidR="00130EDF" w:rsidRPr="008B20CE">
              <w:rPr>
                <w:sz w:val="22"/>
                <w:szCs w:val="22"/>
              </w:rPr>
              <w:t>Informe sobre la gestión realizada por la Entidad durante la vigencia 2016 y se socializó el Plan Estratégico Institucional 2017 – 2019</w:t>
            </w:r>
            <w:r w:rsidR="00130EDF" w:rsidRPr="008B20CE">
              <w:rPr>
                <w:color w:val="000000" w:themeColor="text1"/>
                <w:sz w:val="22"/>
                <w:szCs w:val="22"/>
              </w:rPr>
              <w:t xml:space="preserve">. </w:t>
            </w:r>
            <w:r w:rsidR="0023667D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 El</w:t>
            </w:r>
            <w:r w:rsidR="007E3C0D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informe se encuentra publicado en</w:t>
            </w:r>
            <w:r w:rsidR="0023667D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130EDF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hyperlink r:id="rId10" w:history="1">
              <w:r w:rsidR="00130EDF" w:rsidRPr="008B20CE">
                <w:rPr>
                  <w:rStyle w:val="Hipervnculo"/>
                  <w:sz w:val="22"/>
                  <w:szCs w:val="22"/>
                  <w:shd w:val="clear" w:color="auto" w:fill="FFFFFF"/>
                </w:rPr>
                <w:t>http://contraloriasai.gov.co/index.php/gestion/rendicion-de-cuentas</w:t>
              </w:r>
            </w:hyperlink>
            <w:r w:rsidR="00130EDF" w:rsidRPr="008B20CE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.   </w:t>
            </w:r>
          </w:p>
          <w:p w:rsidR="00843BD7" w:rsidRPr="008B20CE" w:rsidRDefault="00843BD7" w:rsidP="00505E9B">
            <w:pPr>
              <w:pStyle w:val="Default"/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</w:p>
          <w:p w:rsidR="00947382" w:rsidRPr="008B20CE" w:rsidRDefault="00947382" w:rsidP="00130EDF">
            <w:pPr>
              <w:jc w:val="both"/>
              <w:rPr>
                <w:color w:val="FF0000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shd w:val="clear" w:color="auto" w:fill="05396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5B430A">
            <w:pPr>
              <w:pStyle w:val="Sinespaciado"/>
              <w:jc w:val="center"/>
              <w:rPr>
                <w:rStyle w:val="Textoennegrita"/>
                <w:rFonts w:ascii="Arial" w:hAnsi="Arial" w:cs="Arial"/>
                <w:color w:val="FFFFFF" w:themeColor="background1"/>
              </w:rPr>
            </w:pPr>
            <w:r w:rsidRPr="008B20CE">
              <w:rPr>
                <w:rStyle w:val="Textoennegrita"/>
                <w:rFonts w:ascii="Arial" w:hAnsi="Arial" w:cs="Arial"/>
                <w:color w:val="FFFFFF" w:themeColor="background1"/>
              </w:rPr>
              <w:lastRenderedPageBreak/>
              <w:t>Estado General del Sistema de Control Interno</w:t>
            </w:r>
          </w:p>
          <w:p w:rsidR="00C62E13" w:rsidRPr="008B20CE" w:rsidRDefault="00C62E13" w:rsidP="005B430A">
            <w:pPr>
              <w:pStyle w:val="Sinespaciad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F2046E" w:rsidRPr="008B20CE" w:rsidTr="00071CC9">
        <w:trPr>
          <w:gridBefore w:val="1"/>
          <w:gridAfter w:val="2"/>
          <w:wBefore w:w="4" w:type="pct"/>
          <w:wAfter w:w="287" w:type="pct"/>
          <w:tblCellSpacing w:w="15" w:type="dxa"/>
        </w:trPr>
        <w:tc>
          <w:tcPr>
            <w:tcW w:w="465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6A66EF">
            <w:pPr>
              <w:pStyle w:val="Sinespaciado"/>
              <w:jc w:val="both"/>
              <w:rPr>
                <w:rFonts w:ascii="Arial" w:hAnsi="Arial" w:cs="Arial"/>
                <w:color w:val="0070C0"/>
              </w:rPr>
            </w:pPr>
          </w:p>
          <w:p w:rsidR="00381900" w:rsidRPr="008B20CE" w:rsidRDefault="00381900" w:rsidP="006A66EF">
            <w:pPr>
              <w:pStyle w:val="Sinespaciado"/>
              <w:jc w:val="both"/>
              <w:rPr>
                <w:rFonts w:ascii="Arial" w:hAnsi="Arial" w:cs="Arial"/>
                <w:color w:val="0070C0"/>
              </w:rPr>
            </w:pPr>
          </w:p>
          <w:p w:rsidR="00381900" w:rsidRPr="008B20CE" w:rsidRDefault="00F0680C" w:rsidP="0043292C">
            <w:pPr>
              <w:pStyle w:val="Sinespaciado"/>
              <w:jc w:val="both"/>
              <w:rPr>
                <w:rFonts w:ascii="Arial" w:hAnsi="Arial" w:cs="Arial"/>
                <w:color w:val="FF0000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 xml:space="preserve">De acuerdo a lo plasmado en el presente informe; así como los resultados de las diferentes actividades de seguimiento y evaluación realizados por la Oficina de Control Interno </w:t>
            </w:r>
            <w:r w:rsidR="00671230" w:rsidRPr="008B20CE">
              <w:rPr>
                <w:rFonts w:ascii="Arial" w:hAnsi="Arial" w:cs="Arial"/>
                <w:color w:val="000000" w:themeColor="text1"/>
              </w:rPr>
              <w:t>se observa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que el estado general del Sistema de Control </w:t>
            </w:r>
            <w:r w:rsidR="00671230" w:rsidRPr="008B20CE">
              <w:rPr>
                <w:rFonts w:ascii="Arial" w:hAnsi="Arial" w:cs="Arial"/>
                <w:color w:val="000000" w:themeColor="text1"/>
              </w:rPr>
              <w:t>Interno de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la Contraloría General del Departamento Archipiélago, se mantiene en un nivel satisfactorio.</w:t>
            </w:r>
          </w:p>
          <w:p w:rsidR="00107D57" w:rsidRPr="008B20CE" w:rsidRDefault="00CE2F6F" w:rsidP="0043292C">
            <w:pPr>
              <w:pStyle w:val="Sinespaciado"/>
              <w:jc w:val="both"/>
              <w:rPr>
                <w:rFonts w:ascii="Arial" w:hAnsi="Arial" w:cs="Arial"/>
                <w:color w:val="0070C0"/>
              </w:rPr>
            </w:pPr>
            <w:r w:rsidRPr="008B20CE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F2046E" w:rsidRPr="008B20CE" w:rsidTr="00EF7401">
        <w:tblPrEx>
          <w:tblCellSpacing w:w="0" w:type="nil"/>
          <w:tblBorders>
            <w:top w:val="nil"/>
            <w:left w:val="nil"/>
            <w:bottom w:val="nil"/>
            <w:right w:val="nil"/>
          </w:tblBorders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973" w:type="pct"/>
            <w:gridSpan w:val="4"/>
          </w:tcPr>
          <w:p w:rsidR="006A66EF" w:rsidRPr="008B20CE" w:rsidRDefault="006A66EF" w:rsidP="006A66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70C0"/>
              </w:rPr>
            </w:pPr>
          </w:p>
        </w:tc>
      </w:tr>
      <w:tr w:rsidR="00F2046E" w:rsidRPr="008B20CE" w:rsidTr="008771F5">
        <w:trPr>
          <w:gridBefore w:val="1"/>
          <w:gridAfter w:val="2"/>
          <w:wBefore w:w="4" w:type="pct"/>
          <w:wAfter w:w="287" w:type="pct"/>
          <w:trHeight w:val="396"/>
          <w:tblCellSpacing w:w="15" w:type="dxa"/>
        </w:trPr>
        <w:tc>
          <w:tcPr>
            <w:tcW w:w="4655" w:type="pct"/>
            <w:shd w:val="clear" w:color="auto" w:fill="05396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A66EF" w:rsidRPr="008B20CE" w:rsidRDefault="006A66EF" w:rsidP="005B430A">
            <w:pPr>
              <w:pStyle w:val="Sinespaciado"/>
              <w:jc w:val="center"/>
              <w:rPr>
                <w:rStyle w:val="Textoennegrita"/>
                <w:rFonts w:ascii="Arial" w:hAnsi="Arial" w:cs="Arial"/>
                <w:color w:val="FFFFFF" w:themeColor="background1"/>
              </w:rPr>
            </w:pPr>
            <w:r w:rsidRPr="008B20CE">
              <w:rPr>
                <w:rStyle w:val="Textoennegrita"/>
                <w:rFonts w:ascii="Arial" w:hAnsi="Arial" w:cs="Arial"/>
                <w:color w:val="FFFFFF" w:themeColor="background1"/>
              </w:rPr>
              <w:t>Recomendaciones</w:t>
            </w:r>
          </w:p>
          <w:p w:rsidR="00C62E13" w:rsidRPr="008B20CE" w:rsidRDefault="00C62E13" w:rsidP="005B430A">
            <w:pPr>
              <w:pStyle w:val="Sinespaciado"/>
              <w:jc w:val="center"/>
              <w:rPr>
                <w:rFonts w:ascii="Arial" w:hAnsi="Arial" w:cs="Arial"/>
                <w:color w:val="0070C0"/>
              </w:rPr>
            </w:pPr>
          </w:p>
        </w:tc>
      </w:tr>
      <w:tr w:rsidR="00F2046E" w:rsidRPr="008B20CE" w:rsidTr="00071CC9">
        <w:trPr>
          <w:gridBefore w:val="1"/>
          <w:gridAfter w:val="1"/>
          <w:wBefore w:w="4" w:type="pct"/>
          <w:wAfter w:w="284" w:type="pct"/>
          <w:tblCellSpacing w:w="15" w:type="dxa"/>
        </w:trPr>
        <w:tc>
          <w:tcPr>
            <w:tcW w:w="4658" w:type="pct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900" w:rsidRPr="008B20CE" w:rsidRDefault="00381900" w:rsidP="00B002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AB42C9" w:rsidRPr="008B20CE" w:rsidRDefault="00AB42C9" w:rsidP="00AB42C9">
            <w:pPr>
              <w:jc w:val="both"/>
              <w:rPr>
                <w:rFonts w:ascii="Arial" w:hAnsi="Arial" w:cs="Arial"/>
                <w:lang w:eastAsia="es-CO"/>
              </w:rPr>
            </w:pPr>
            <w:r w:rsidRPr="008B20CE">
              <w:rPr>
                <w:rFonts w:ascii="Arial" w:hAnsi="Arial" w:cs="Arial"/>
                <w:lang w:eastAsia="es-CO"/>
              </w:rPr>
              <w:t>Se recomienda que junto a la entrega de la copia del contrato al supervisor para el ejercicio de sus funciones, se le dé a conocer el Manual de Supervisión e Interventoría de la Contraloría Departamental, adoptado y actualizado mediante la Resolución 501 de 2015, para que el funcionario tenga claro sus responsabilidades y funciones al inicio, durante y al finalizar la ejecución del contrato a supervisar.</w:t>
            </w:r>
          </w:p>
          <w:p w:rsidR="00F07FD8" w:rsidRDefault="00F07FD8" w:rsidP="00561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3E18A4">
              <w:rPr>
                <w:rFonts w:ascii="Arial" w:hAnsi="Arial" w:cs="Arial"/>
                <w:color w:val="000000" w:themeColor="text1"/>
              </w:rPr>
              <w:t>Impl</w:t>
            </w:r>
            <w:r w:rsidRPr="008B20CE">
              <w:rPr>
                <w:rFonts w:ascii="Arial" w:hAnsi="Arial" w:cs="Arial"/>
                <w:color w:val="000000" w:themeColor="text1"/>
              </w:rPr>
              <w:t>ementa</w:t>
            </w:r>
            <w:r w:rsidR="003E18A4">
              <w:rPr>
                <w:rFonts w:ascii="Arial" w:hAnsi="Arial" w:cs="Arial"/>
                <w:color w:val="000000" w:themeColor="text1"/>
              </w:rPr>
              <w:t xml:space="preserve">ción </w:t>
            </w:r>
            <w:r w:rsidR="003E18A4" w:rsidRPr="008B20CE">
              <w:rPr>
                <w:rFonts w:ascii="Arial" w:hAnsi="Arial" w:cs="Arial"/>
                <w:color w:val="000000" w:themeColor="text1"/>
              </w:rPr>
              <w:t>por parte de los líderes y sus equipos de trabajo</w:t>
            </w:r>
            <w:r w:rsidR="003E18A4">
              <w:rPr>
                <w:rFonts w:ascii="Arial" w:hAnsi="Arial" w:cs="Arial"/>
                <w:color w:val="000000" w:themeColor="text1"/>
              </w:rPr>
              <w:t xml:space="preserve">, de las actividades 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3E18A4">
              <w:rPr>
                <w:rFonts w:ascii="Arial" w:hAnsi="Arial" w:cs="Arial"/>
                <w:color w:val="000000" w:themeColor="text1"/>
              </w:rPr>
              <w:t xml:space="preserve">establecidas en el Manual de Procedimientos de </w:t>
            </w:r>
            <w:r w:rsidRPr="008B20CE">
              <w:rPr>
                <w:rFonts w:ascii="Arial" w:hAnsi="Arial" w:cs="Arial"/>
                <w:color w:val="000000" w:themeColor="text1"/>
              </w:rPr>
              <w:t>Autoevaluación de los Procesos, de acuerdo a la estructura adoptada por parte de la entidad</w:t>
            </w:r>
            <w:r w:rsidR="003E18A4">
              <w:rPr>
                <w:rFonts w:ascii="Arial" w:hAnsi="Arial" w:cs="Arial"/>
                <w:color w:val="000000" w:themeColor="text1"/>
              </w:rPr>
              <w:t xml:space="preserve"> a finales de 2016. Éste documento es una </w:t>
            </w:r>
            <w:r w:rsidR="0056135E" w:rsidRPr="008B20CE">
              <w:rPr>
                <w:rFonts w:ascii="Arial" w:hAnsi="Arial" w:cs="Arial"/>
                <w:color w:val="000000" w:themeColor="text1"/>
              </w:rPr>
              <w:t>herramienta para</w:t>
            </w:r>
            <w:r w:rsidR="0056135E">
              <w:rPr>
                <w:rFonts w:ascii="Arial" w:hAnsi="Arial" w:cs="Arial"/>
                <w:color w:val="000000" w:themeColor="text1"/>
              </w:rPr>
              <w:t xml:space="preserve"> el monitoreo permanente </w:t>
            </w:r>
            <w:r w:rsidR="0056135E" w:rsidRPr="008B20CE">
              <w:rPr>
                <w:rFonts w:ascii="Arial" w:hAnsi="Arial" w:cs="Arial"/>
                <w:color w:val="000000" w:themeColor="text1"/>
              </w:rPr>
              <w:t>de las actividades realizadas en cumplimiento de los planes y programas institucionales, que permitan controlar desviaciones y la materialización de riesgos o el no cumplimiento de las acciones plasmadas que afecten el logro de los objetivos y metas institucionales.</w:t>
            </w:r>
          </w:p>
          <w:p w:rsidR="0056135E" w:rsidRPr="008B20CE" w:rsidRDefault="0056135E" w:rsidP="00561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E85C1C" w:rsidRPr="008B20CE" w:rsidRDefault="00E85C1C" w:rsidP="00E85C1C">
            <w:pPr>
              <w:tabs>
                <w:tab w:val="left" w:pos="3255"/>
              </w:tabs>
              <w:jc w:val="both"/>
              <w:rPr>
                <w:rFonts w:ascii="Arial" w:hAnsi="Arial" w:cs="Arial"/>
                <w:color w:val="FF0000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>Mejorar</w:t>
            </w:r>
            <w:r w:rsidR="004C08C7" w:rsidRPr="008B20CE">
              <w:rPr>
                <w:rFonts w:ascii="Arial" w:hAnsi="Arial" w:cs="Arial"/>
                <w:color w:val="000000" w:themeColor="text1"/>
              </w:rPr>
              <w:t xml:space="preserve"> la oportunidad en la 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entrega </w:t>
            </w:r>
            <w:r w:rsidR="004C08C7" w:rsidRPr="008B20CE">
              <w:rPr>
                <w:rFonts w:ascii="Arial" w:hAnsi="Arial" w:cs="Arial"/>
                <w:color w:val="000000" w:themeColor="text1"/>
              </w:rPr>
              <w:t>de información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por parte de algunos líderes de </w:t>
            </w:r>
            <w:r w:rsidR="004C08C7" w:rsidRPr="008B20CE">
              <w:rPr>
                <w:rFonts w:ascii="Arial" w:hAnsi="Arial" w:cs="Arial"/>
                <w:color w:val="000000" w:themeColor="text1"/>
              </w:rPr>
              <w:t>procesos en relación a</w:t>
            </w:r>
            <w:r w:rsidRPr="008B20CE">
              <w:rPr>
                <w:rFonts w:ascii="Arial" w:hAnsi="Arial" w:cs="Arial"/>
                <w:color w:val="000000" w:themeColor="text1"/>
              </w:rPr>
              <w:t xml:space="preserve"> los avances de las actividades desarrolladas en cada uno de los diferentes planes y demás </w:t>
            </w:r>
            <w:r w:rsidRPr="008B20CE">
              <w:rPr>
                <w:rFonts w:ascii="Arial" w:hAnsi="Arial" w:cs="Arial"/>
                <w:color w:val="000000" w:themeColor="text1"/>
              </w:rPr>
              <w:lastRenderedPageBreak/>
              <w:t xml:space="preserve">información necesaria para </w:t>
            </w:r>
            <w:r w:rsidR="004C08C7" w:rsidRPr="008B20CE">
              <w:rPr>
                <w:rFonts w:ascii="Arial" w:hAnsi="Arial" w:cs="Arial"/>
                <w:color w:val="000000" w:themeColor="text1"/>
              </w:rPr>
              <w:t xml:space="preserve">la elaboración de </w:t>
            </w:r>
            <w:r w:rsidRPr="008B20CE">
              <w:rPr>
                <w:rFonts w:ascii="Arial" w:hAnsi="Arial" w:cs="Arial"/>
                <w:color w:val="000000" w:themeColor="text1"/>
              </w:rPr>
              <w:t>los informes de seguimientos y evaluación</w:t>
            </w:r>
            <w:r w:rsidRPr="008B20CE">
              <w:rPr>
                <w:rFonts w:ascii="Arial" w:hAnsi="Arial" w:cs="Arial"/>
                <w:color w:val="FF0000"/>
              </w:rPr>
              <w:t xml:space="preserve">. </w:t>
            </w:r>
          </w:p>
          <w:p w:rsidR="004C08C7" w:rsidRPr="008B20CE" w:rsidRDefault="004C08C7" w:rsidP="004C08C7">
            <w:pPr>
              <w:pStyle w:val="NormalWeb"/>
              <w:kinsoku w:val="0"/>
              <w:overflowPunct w:val="0"/>
              <w:spacing w:before="0" w:beforeAutospacing="0" w:after="3" w:afterAutospacing="0" w:line="244" w:lineRule="auto"/>
              <w:jc w:val="both"/>
              <w:textAlignment w:val="baseline"/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</w:pPr>
            <w:r w:rsidRPr="008B20CE">
              <w:rPr>
                <w:rFonts w:ascii="Arial" w:hAnsi="Arial" w:cs="Arial"/>
                <w:color w:val="000000" w:themeColor="text1"/>
                <w:kern w:val="24"/>
                <w:sz w:val="22"/>
                <w:szCs w:val="22"/>
              </w:rPr>
              <w:t xml:space="preserve">Adelantar gestiones pertinentes para la adecuación técnica, con el fin de que en la Entidad se adelante el proceso verbal de responsabilidad fiscal, como lo establece la normatividad vigente. </w:t>
            </w:r>
          </w:p>
          <w:p w:rsidR="004C08C7" w:rsidRPr="008B20CE" w:rsidRDefault="004C08C7" w:rsidP="004C08C7">
            <w:pPr>
              <w:pStyle w:val="NormalWeb"/>
              <w:kinsoku w:val="0"/>
              <w:overflowPunct w:val="0"/>
              <w:spacing w:before="0" w:beforeAutospacing="0" w:after="3" w:afterAutospacing="0" w:line="244" w:lineRule="auto"/>
              <w:jc w:val="both"/>
              <w:textAlignment w:val="baseline"/>
              <w:rPr>
                <w:rFonts w:ascii="Arial" w:hAnsi="Arial" w:cs="Arial"/>
                <w:color w:val="FF0000"/>
                <w:kern w:val="24"/>
                <w:sz w:val="22"/>
                <w:szCs w:val="22"/>
              </w:rPr>
            </w:pPr>
          </w:p>
          <w:p w:rsidR="000C67D5" w:rsidRDefault="000C67D5" w:rsidP="000C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 recomienda reactivar, las instancias de participación dentro del MECI, con el fin de  fortalecer  </w:t>
            </w:r>
            <w:r>
              <w:rPr>
                <w:rFonts w:ascii="Arial" w:hAnsi="Arial" w:cs="Arial"/>
                <w:sz w:val="21"/>
                <w:szCs w:val="21"/>
              </w:rPr>
              <w:t>el Sistema de Control Interno- SCI, por cuanto a través del Modelo Estándar de Control Interno utilizado   como herramienta gerencial y  mecanismo de autoprotección,  le permite a la Entidad dar cumplimiento a los planes, métodos principios, normas, procedimientos y mecanismos de verificación y evaluación, con el fin de procurar que todas las actividades, operaciones y actuaciones, se realicen acorde con las normas constitucionales y legales vigentes.</w:t>
            </w:r>
          </w:p>
          <w:p w:rsidR="000C67D5" w:rsidRDefault="000C67D5" w:rsidP="00561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56135E" w:rsidRPr="0056135E" w:rsidRDefault="0056135E" w:rsidP="005613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Se sugiere que </w:t>
            </w:r>
            <w:r w:rsidRPr="0056135E">
              <w:rPr>
                <w:rFonts w:ascii="Arial" w:hAnsi="Arial" w:cs="Arial"/>
                <w:color w:val="000000" w:themeColor="text1"/>
              </w:rPr>
              <w:t>los líderes de procesos y sus equipos de trabajo revisen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135E">
              <w:rPr>
                <w:rFonts w:ascii="Arial" w:hAnsi="Arial" w:cs="Arial"/>
                <w:color w:val="000000" w:themeColor="text1"/>
              </w:rPr>
              <w:t>periódicamente la pertinencia de los indicadores, teniendo en cuenta que la entidad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135E">
              <w:rPr>
                <w:rFonts w:ascii="Arial" w:hAnsi="Arial" w:cs="Arial"/>
                <w:color w:val="000000" w:themeColor="text1"/>
              </w:rPr>
              <w:t>y su entorno sufren cambios constantes, que pueden afectar la forma en la que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56135E">
              <w:rPr>
                <w:rFonts w:ascii="Arial" w:hAnsi="Arial" w:cs="Arial"/>
                <w:color w:val="000000" w:themeColor="text1"/>
              </w:rPr>
              <w:t>fueron concebidos inicialmente</w:t>
            </w:r>
            <w:r>
              <w:rPr>
                <w:rFonts w:ascii="Arial" w:hAnsi="Arial" w:cs="Arial"/>
                <w:color w:val="7F7F7F"/>
              </w:rPr>
              <w:t>.</w:t>
            </w:r>
          </w:p>
          <w:p w:rsidR="0056135E" w:rsidRDefault="0056135E" w:rsidP="00381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</w:pPr>
          </w:p>
          <w:p w:rsidR="00656862" w:rsidRPr="008B20CE" w:rsidRDefault="00656862" w:rsidP="003819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</w:pPr>
            <w:r w:rsidRPr="008B20CE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Actualizar el manual de operaciones de la Entidad frente a cambios y/o nuevos procedimientos establecidos para los procesos y crear los espacios para que una vez identificadas las debilidades se propongan las acciones de mejora correspondiente.</w:t>
            </w:r>
          </w:p>
          <w:p w:rsidR="00D04E6F" w:rsidRPr="008B20CE" w:rsidRDefault="00D04E6F" w:rsidP="00D04E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D04E6F" w:rsidRPr="008B20CE" w:rsidRDefault="00D04E6F" w:rsidP="00D04E6F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>Mejorar la oportunidad en la publicación en la página web  de las gestiones adelantadas por la Entidad y que deben darse a conocer a la comunidad, tales como  informes definitivos de auditoría modalidad regular vigencia 2016, informe de seguimiento de actividades auditoras y de participación ciudadana y estados financieros.</w:t>
            </w:r>
          </w:p>
          <w:p w:rsidR="008771F5" w:rsidRDefault="008771F5" w:rsidP="001143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AF081A" w:rsidRDefault="00AF081A" w:rsidP="000C67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F0680C" w:rsidRPr="008B20CE" w:rsidRDefault="00F0680C" w:rsidP="00F9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F0680C" w:rsidRPr="008B20CE" w:rsidRDefault="00F0680C" w:rsidP="00F9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F0680C" w:rsidRPr="008B20CE" w:rsidRDefault="00F0680C" w:rsidP="00F9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:rsidR="006A66EF" w:rsidRPr="008B20CE" w:rsidRDefault="006A66EF" w:rsidP="00F9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8B20CE">
              <w:rPr>
                <w:rFonts w:ascii="Arial" w:hAnsi="Arial" w:cs="Arial"/>
                <w:b/>
                <w:color w:val="000000" w:themeColor="text1"/>
              </w:rPr>
              <w:t>SOLYMAR POMARE GORDON</w:t>
            </w:r>
          </w:p>
          <w:p w:rsidR="006A66EF" w:rsidRPr="008B20CE" w:rsidRDefault="006A66EF" w:rsidP="00F91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70C0"/>
              </w:rPr>
            </w:pPr>
            <w:r w:rsidRPr="008B20CE">
              <w:rPr>
                <w:rFonts w:ascii="Arial" w:hAnsi="Arial" w:cs="Arial"/>
                <w:color w:val="000000" w:themeColor="text1"/>
              </w:rPr>
              <w:t>Jefe Oficina de Control Interno</w:t>
            </w:r>
          </w:p>
        </w:tc>
      </w:tr>
    </w:tbl>
    <w:p w:rsidR="00825295" w:rsidRPr="008B20CE" w:rsidRDefault="00825295" w:rsidP="00957A91">
      <w:pPr>
        <w:pStyle w:val="Sinespaciado"/>
        <w:rPr>
          <w:rFonts w:ascii="Arial" w:hAnsi="Arial" w:cs="Arial"/>
        </w:rPr>
      </w:pPr>
    </w:p>
    <w:sectPr w:rsidR="00825295" w:rsidRPr="008B20CE" w:rsidSect="00C536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900" w:right="1080" w:bottom="1080" w:left="170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3F0" w:rsidRDefault="001C23F0" w:rsidP="00C536E4">
      <w:pPr>
        <w:spacing w:after="0" w:line="240" w:lineRule="auto"/>
      </w:pPr>
      <w:r>
        <w:separator/>
      </w:r>
    </w:p>
  </w:endnote>
  <w:endnote w:type="continuationSeparator" w:id="0">
    <w:p w:rsidR="001C23F0" w:rsidRDefault="001C23F0" w:rsidP="00C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FB" w:rsidRDefault="00747CF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640460"/>
      <w:docPartObj>
        <w:docPartGallery w:val="Page Numbers (Bottom of Page)"/>
        <w:docPartUnique/>
      </w:docPartObj>
    </w:sdtPr>
    <w:sdtEndPr/>
    <w:sdtContent>
      <w:p w:rsidR="0045271E" w:rsidRPr="000D3360" w:rsidRDefault="0045271E" w:rsidP="003E6520">
        <w:pPr>
          <w:pStyle w:val="Piedepgina"/>
          <w:pBdr>
            <w:bottom w:val="single" w:sz="4" w:space="1" w:color="auto"/>
          </w:pBdr>
          <w:jc w:val="center"/>
          <w:rPr>
            <w:rFonts w:ascii="Garamond" w:hAnsi="Garamond"/>
            <w:i/>
            <w:color w:val="000000"/>
            <w:spacing w:val="10"/>
            <w:sz w:val="6"/>
            <w:szCs w:val="6"/>
          </w:rPr>
        </w:pPr>
      </w:p>
      <w:p w:rsidR="0045271E" w:rsidRPr="00633366" w:rsidRDefault="00747CFB" w:rsidP="0045271E">
        <w:pPr>
          <w:pStyle w:val="Piedepgina"/>
          <w:jc w:val="both"/>
          <w:rPr>
            <w:rFonts w:ascii="Arial" w:hAnsi="Arial"/>
            <w:color w:val="000000"/>
            <w:spacing w:val="10"/>
            <w:sz w:val="21"/>
            <w:szCs w:val="21"/>
          </w:rPr>
        </w:pPr>
        <w:r>
          <w:rPr>
            <w:rFonts w:ascii="Garamond" w:hAnsi="Garamond"/>
            <w:i/>
            <w:noProof/>
            <w:color w:val="000000"/>
            <w:spacing w:val="10"/>
            <w:sz w:val="21"/>
            <w:szCs w:val="21"/>
            <w:lang w:eastAsia="es-CO"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4320540</wp:posOffset>
              </wp:positionH>
              <wp:positionV relativeFrom="paragraph">
                <wp:posOffset>34290</wp:posOffset>
              </wp:positionV>
              <wp:extent cx="1775460" cy="708660"/>
              <wp:effectExtent l="0" t="0" r="0" b="0"/>
              <wp:wrapSquare wrapText="bothSides"/>
              <wp:docPr id="6" name="Imagen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75460" cy="7086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5271E" w:rsidRPr="00633366">
          <w:rPr>
            <w:rFonts w:ascii="Garamond" w:hAnsi="Garamond"/>
            <w:i/>
            <w:color w:val="000000"/>
            <w:spacing w:val="10"/>
            <w:sz w:val="21"/>
            <w:szCs w:val="21"/>
          </w:rPr>
          <w:t>“Con</w:t>
        </w:r>
        <w:r w:rsidR="0045271E">
          <w:rPr>
            <w:rFonts w:ascii="Garamond" w:hAnsi="Garamond"/>
            <w:i/>
            <w:color w:val="000000"/>
            <w:spacing w:val="10"/>
            <w:sz w:val="21"/>
            <w:szCs w:val="21"/>
          </w:rPr>
          <w:t>tro</w:t>
        </w:r>
        <w:r w:rsidR="0045271E" w:rsidRPr="00633366">
          <w:rPr>
            <w:rFonts w:ascii="Garamond" w:hAnsi="Garamond"/>
            <w:i/>
            <w:color w:val="000000"/>
            <w:spacing w:val="10"/>
            <w:sz w:val="21"/>
            <w:szCs w:val="21"/>
          </w:rPr>
          <w:t>l</w:t>
        </w:r>
        <w:r w:rsidR="0045271E">
          <w:rPr>
            <w:rFonts w:ascii="Garamond" w:hAnsi="Garamond"/>
            <w:i/>
            <w:color w:val="000000"/>
            <w:spacing w:val="10"/>
            <w:sz w:val="21"/>
            <w:szCs w:val="21"/>
          </w:rPr>
          <w:t xml:space="preserve"> fiscal decente, efectivo, </w:t>
        </w:r>
        <w:r w:rsidR="0045271E" w:rsidRPr="00633366">
          <w:rPr>
            <w:rFonts w:ascii="Garamond" w:hAnsi="Garamond"/>
            <w:i/>
            <w:color w:val="000000"/>
            <w:spacing w:val="10"/>
            <w:sz w:val="21"/>
            <w:szCs w:val="21"/>
          </w:rPr>
          <w:t>participativo</w:t>
        </w:r>
        <w:r w:rsidR="0045271E">
          <w:rPr>
            <w:rFonts w:ascii="Garamond" w:hAnsi="Garamond"/>
            <w:i/>
            <w:color w:val="000000"/>
            <w:spacing w:val="10"/>
            <w:sz w:val="21"/>
            <w:szCs w:val="21"/>
          </w:rPr>
          <w:t xml:space="preserve"> y social</w:t>
        </w:r>
        <w:r w:rsidR="0045271E" w:rsidRPr="00633366">
          <w:rPr>
            <w:rFonts w:ascii="Garamond" w:hAnsi="Garamond"/>
            <w:i/>
            <w:color w:val="000000"/>
            <w:spacing w:val="10"/>
            <w:sz w:val="21"/>
            <w:szCs w:val="21"/>
          </w:rPr>
          <w:t>”</w:t>
        </w:r>
      </w:p>
      <w:p w:rsidR="0045271E" w:rsidRPr="00633366" w:rsidRDefault="0045271E" w:rsidP="0045271E">
        <w:pPr>
          <w:pStyle w:val="Piedepgina"/>
          <w:jc w:val="center"/>
          <w:rPr>
            <w:rFonts w:ascii="Arial Narrow" w:hAnsi="Arial Narrow"/>
            <w:color w:val="000000"/>
            <w:spacing w:val="10"/>
            <w:sz w:val="4"/>
            <w:szCs w:val="4"/>
          </w:rPr>
        </w:pPr>
      </w:p>
      <w:p w:rsidR="0045271E" w:rsidRPr="00633366" w:rsidRDefault="0045271E" w:rsidP="0045271E">
        <w:pPr>
          <w:pStyle w:val="Piedepgina"/>
          <w:tabs>
            <w:tab w:val="left" w:pos="187"/>
          </w:tabs>
          <w:ind w:right="360"/>
          <w:rPr>
            <w:rFonts w:ascii="Arial Narrow" w:hAnsi="Arial Narrow"/>
            <w:b/>
            <w:color w:val="000000"/>
            <w:spacing w:val="10"/>
            <w:sz w:val="10"/>
            <w:szCs w:val="10"/>
          </w:rPr>
        </w:pPr>
      </w:p>
      <w:p w:rsidR="0045271E" w:rsidRPr="007B01D8" w:rsidRDefault="0045271E" w:rsidP="0045271E">
        <w:pPr>
          <w:pStyle w:val="Piedepgina"/>
          <w:jc w:val="both"/>
          <w:rPr>
            <w:rFonts w:ascii="Arial Narrow" w:hAnsi="Arial Narrow"/>
            <w:color w:val="000000"/>
            <w:sz w:val="16"/>
            <w:szCs w:val="16"/>
          </w:rPr>
        </w:pPr>
        <w:r w:rsidRPr="007B01D8">
          <w:rPr>
            <w:rFonts w:ascii="Arial Narrow" w:hAnsi="Arial Narrow"/>
            <w:color w:val="000000"/>
            <w:sz w:val="16"/>
            <w:szCs w:val="16"/>
          </w:rPr>
          <w:t>Avenida Francisco Newball, Edificio OCCRE piso 3  -  San Andrés Isla</w:t>
        </w:r>
      </w:p>
      <w:p w:rsidR="0045271E" w:rsidRPr="007B01D8" w:rsidRDefault="0045271E" w:rsidP="0045271E">
        <w:pPr>
          <w:pStyle w:val="Piedepgina"/>
          <w:jc w:val="both"/>
          <w:rPr>
            <w:rFonts w:ascii="Arial Narrow" w:hAnsi="Arial Narrow"/>
            <w:color w:val="000000"/>
            <w:sz w:val="16"/>
            <w:szCs w:val="16"/>
          </w:rPr>
        </w:pPr>
        <w:r w:rsidRPr="007B01D8">
          <w:rPr>
            <w:rFonts w:ascii="Arial Narrow" w:hAnsi="Arial Narrow"/>
            <w:color w:val="000000"/>
            <w:sz w:val="16"/>
            <w:szCs w:val="16"/>
            <w:lang w:val="pt-BR"/>
          </w:rPr>
          <w:t xml:space="preserve">Tel.: 51 25190 </w:t>
        </w:r>
        <w:r>
          <w:rPr>
            <w:rFonts w:ascii="Arial Narrow" w:hAnsi="Arial Narrow"/>
            <w:color w:val="000000"/>
            <w:sz w:val="16"/>
            <w:szCs w:val="16"/>
            <w:lang w:val="pt-BR"/>
          </w:rPr>
          <w:t>-</w:t>
        </w:r>
        <w:proofErr w:type="gramStart"/>
        <w:r>
          <w:rPr>
            <w:rFonts w:ascii="Arial Narrow" w:hAnsi="Arial Narrow"/>
            <w:color w:val="000000"/>
            <w:sz w:val="16"/>
            <w:szCs w:val="16"/>
            <w:lang w:val="pt-BR"/>
          </w:rPr>
          <w:t xml:space="preserve">  </w:t>
        </w:r>
        <w:proofErr w:type="gramEnd"/>
        <w:r>
          <w:rPr>
            <w:rFonts w:ascii="Arial Narrow" w:hAnsi="Arial Narrow"/>
            <w:color w:val="000000"/>
            <w:sz w:val="16"/>
            <w:szCs w:val="16"/>
            <w:lang w:val="pt-BR"/>
          </w:rPr>
          <w:t xml:space="preserve">51 20189 </w:t>
        </w:r>
        <w:r w:rsidRPr="007B01D8">
          <w:rPr>
            <w:rFonts w:ascii="Arial Narrow" w:hAnsi="Arial Narrow"/>
            <w:color w:val="000000"/>
            <w:sz w:val="16"/>
            <w:szCs w:val="16"/>
            <w:lang w:val="pt-BR"/>
          </w:rPr>
          <w:t xml:space="preserve">-  Fax: 51 22465 </w:t>
        </w:r>
      </w:p>
      <w:p w:rsidR="0045271E" w:rsidRPr="007B01D8" w:rsidRDefault="0045271E" w:rsidP="0045271E">
        <w:pPr>
          <w:pStyle w:val="Piedepgina"/>
          <w:jc w:val="both"/>
          <w:rPr>
            <w:rFonts w:ascii="Arial Narrow" w:hAnsi="Arial Narrow"/>
            <w:color w:val="000000"/>
            <w:sz w:val="16"/>
            <w:szCs w:val="16"/>
            <w:lang w:val="pt-BR"/>
          </w:rPr>
        </w:pPr>
        <w:r w:rsidRPr="007B01D8">
          <w:rPr>
            <w:rFonts w:ascii="Arial Narrow" w:hAnsi="Arial Narrow"/>
            <w:color w:val="000000"/>
            <w:sz w:val="16"/>
            <w:szCs w:val="16"/>
          </w:rPr>
          <w:t>Página Web</w:t>
        </w:r>
        <w:r w:rsidRPr="007B01D8">
          <w:rPr>
            <w:rFonts w:ascii="Arial Narrow" w:hAnsi="Arial Narrow"/>
            <w:color w:val="000000"/>
            <w:sz w:val="16"/>
            <w:szCs w:val="16"/>
            <w:lang w:val="pt-BR"/>
          </w:rPr>
          <w:t xml:space="preserve">: </w:t>
        </w:r>
        <w:hyperlink r:id="rId2" w:history="1">
          <w:r w:rsidRPr="007B01D8">
            <w:rPr>
              <w:rStyle w:val="Hipervnculo"/>
              <w:rFonts w:ascii="Arial Narrow" w:hAnsi="Arial Narrow"/>
              <w:color w:val="000000"/>
              <w:sz w:val="16"/>
              <w:szCs w:val="16"/>
              <w:lang w:val="pt-BR"/>
            </w:rPr>
            <w:t>www.contraloriasai.gov.co</w:t>
          </w:r>
        </w:hyperlink>
      </w:p>
      <w:p w:rsidR="0045271E" w:rsidRPr="007B01D8" w:rsidRDefault="0045271E" w:rsidP="0045271E">
        <w:pPr>
          <w:pStyle w:val="Piedepgina"/>
          <w:jc w:val="both"/>
        </w:pPr>
        <w:r w:rsidRPr="007B01D8">
          <w:rPr>
            <w:rFonts w:ascii="Arial Narrow" w:hAnsi="Arial Narrow"/>
            <w:color w:val="000000"/>
            <w:sz w:val="16"/>
            <w:szCs w:val="16"/>
            <w:lang w:val="pt-BR"/>
          </w:rPr>
          <w:t>Correo</w:t>
        </w:r>
        <w:r w:rsidRPr="007B01D8">
          <w:rPr>
            <w:rFonts w:ascii="Arial Narrow" w:hAnsi="Arial Narrow"/>
            <w:color w:val="000000"/>
            <w:sz w:val="16"/>
            <w:szCs w:val="16"/>
          </w:rPr>
          <w:t xml:space="preserve"> Electrónico</w:t>
        </w:r>
        <w:r w:rsidRPr="007B01D8">
          <w:rPr>
            <w:rFonts w:ascii="Arial Narrow" w:hAnsi="Arial Narrow"/>
            <w:color w:val="000000"/>
            <w:sz w:val="16"/>
            <w:szCs w:val="16"/>
            <w:lang w:val="pt-BR"/>
          </w:rPr>
          <w:t xml:space="preserve">: </w:t>
        </w:r>
        <w:hyperlink r:id="rId3" w:history="1">
          <w:r w:rsidRPr="007B01D8">
            <w:rPr>
              <w:rStyle w:val="Hipervnculo"/>
              <w:rFonts w:ascii="Arial Narrow" w:hAnsi="Arial Narrow" w:cs="Arial"/>
              <w:color w:val="000000"/>
              <w:sz w:val="16"/>
              <w:szCs w:val="16"/>
              <w:lang w:val="pt-BR"/>
            </w:rPr>
            <w:t>cgdsai@telecom.com.co</w:t>
          </w:r>
        </w:hyperlink>
        <w:r w:rsidRPr="007B01D8">
          <w:rPr>
            <w:rFonts w:ascii="Arial Narrow" w:hAnsi="Arial Narrow"/>
            <w:color w:val="000000"/>
            <w:sz w:val="16"/>
            <w:szCs w:val="16"/>
            <w:lang w:val="pt-BR"/>
          </w:rPr>
          <w:t xml:space="preserve"> – contraloria@contraloriasai.gov.co</w:t>
        </w:r>
      </w:p>
      <w:p w:rsidR="001F64C1" w:rsidRDefault="001F64C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504" w:rsidRPr="00AB1504">
          <w:rPr>
            <w:noProof/>
            <w:lang w:val="es-ES"/>
          </w:rPr>
          <w:t>3</w:t>
        </w:r>
        <w:r>
          <w:fldChar w:fldCharType="end"/>
        </w:r>
      </w:p>
    </w:sdtContent>
  </w:sdt>
  <w:p w:rsidR="001F64C1" w:rsidRDefault="001F64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FB" w:rsidRDefault="00747CF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3F0" w:rsidRDefault="001C23F0" w:rsidP="00C536E4">
      <w:pPr>
        <w:spacing w:after="0" w:line="240" w:lineRule="auto"/>
      </w:pPr>
      <w:r>
        <w:separator/>
      </w:r>
    </w:p>
  </w:footnote>
  <w:footnote w:type="continuationSeparator" w:id="0">
    <w:p w:rsidR="001C23F0" w:rsidRDefault="001C23F0" w:rsidP="00C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FB" w:rsidRDefault="00747CF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4C1" w:rsidRPr="00106363" w:rsidRDefault="003E6520" w:rsidP="003E6520">
    <w:pPr>
      <w:pStyle w:val="Encabezado"/>
      <w:tabs>
        <w:tab w:val="center" w:pos="4729"/>
        <w:tab w:val="right" w:pos="9459"/>
      </w:tabs>
      <w:rPr>
        <w:rFonts w:ascii="Georgia" w:hAnsi="Georgia"/>
        <w:b/>
        <w:i/>
        <w:spacing w:val="8"/>
        <w:sz w:val="20"/>
        <w:szCs w:val="20"/>
      </w:rPr>
    </w:pPr>
    <w:r>
      <w:rPr>
        <w:rFonts w:ascii="Georgia" w:hAnsi="Georgia"/>
        <w:b/>
        <w:i/>
        <w:spacing w:val="8"/>
        <w:sz w:val="20"/>
        <w:szCs w:val="20"/>
      </w:rPr>
      <w:tab/>
    </w:r>
    <w:r w:rsidR="001F64C1" w:rsidRPr="00106363">
      <w:rPr>
        <w:rFonts w:ascii="Californian FB" w:hAnsi="Californian FB"/>
        <w:i/>
        <w:noProof/>
        <w:spacing w:val="8"/>
        <w:sz w:val="20"/>
        <w:szCs w:val="20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152400</wp:posOffset>
          </wp:positionH>
          <wp:positionV relativeFrom="paragraph">
            <wp:posOffset>-86995</wp:posOffset>
          </wp:positionV>
          <wp:extent cx="609600" cy="571500"/>
          <wp:effectExtent l="0" t="0" r="0" b="0"/>
          <wp:wrapNone/>
          <wp:docPr id="1" name="Imagen 1" descr="http://www.contraloriasai.gov.co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contraloriasai.gov.co/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4C1" w:rsidRPr="00106363">
      <w:rPr>
        <w:rFonts w:ascii="Georgia" w:hAnsi="Georgia"/>
        <w:b/>
        <w:i/>
        <w:spacing w:val="8"/>
        <w:sz w:val="20"/>
        <w:szCs w:val="20"/>
      </w:rPr>
      <w:t>CONTRALORIA GENERAL DEL DEPARTAMENTO</w:t>
    </w:r>
    <w:r>
      <w:rPr>
        <w:rFonts w:ascii="Georgia" w:hAnsi="Georgia"/>
        <w:b/>
        <w:i/>
        <w:spacing w:val="8"/>
        <w:sz w:val="20"/>
        <w:szCs w:val="20"/>
      </w:rPr>
      <w:tab/>
    </w:r>
    <w:r>
      <w:rPr>
        <w:rFonts w:ascii="Georgia" w:hAnsi="Georgia"/>
        <w:b/>
        <w:i/>
        <w:spacing w:val="8"/>
        <w:sz w:val="20"/>
        <w:szCs w:val="20"/>
      </w:rPr>
      <w:tab/>
    </w:r>
  </w:p>
  <w:p w:rsidR="001F64C1" w:rsidRPr="00306C0E" w:rsidRDefault="001F64C1" w:rsidP="008D112A">
    <w:pPr>
      <w:pStyle w:val="Encabezado"/>
      <w:shd w:val="clear" w:color="auto" w:fill="FFFFFF"/>
      <w:ind w:right="-2"/>
      <w:jc w:val="center"/>
      <w:rPr>
        <w:rFonts w:ascii="Goudy Old Style" w:hAnsi="Goudy Old Style"/>
        <w:i/>
        <w:spacing w:val="6"/>
        <w:sz w:val="15"/>
        <w:szCs w:val="15"/>
      </w:rPr>
    </w:pPr>
    <w:r w:rsidRPr="00DA2491">
      <w:rPr>
        <w:rFonts w:ascii="Georgia" w:hAnsi="Georgia"/>
        <w:b/>
        <w:i/>
        <w:spacing w:val="8"/>
        <w:sz w:val="15"/>
        <w:szCs w:val="15"/>
      </w:rPr>
      <w:t>ARCHIPIÉLAGO DE SAN ANDRÉS, PROVIDENCIA Y SANTA CATALINA</w:t>
    </w:r>
  </w:p>
  <w:p w:rsidR="001F64C1" w:rsidRPr="00306C0E" w:rsidRDefault="001F64C1" w:rsidP="008D112A">
    <w:pPr>
      <w:pStyle w:val="Encabezado"/>
      <w:tabs>
        <w:tab w:val="center" w:pos="0"/>
      </w:tabs>
      <w:jc w:val="center"/>
      <w:rPr>
        <w:rFonts w:ascii="Arial Narrow" w:hAnsi="Arial Narrow"/>
        <w:sz w:val="16"/>
        <w:szCs w:val="16"/>
      </w:rPr>
    </w:pPr>
  </w:p>
  <w:p w:rsidR="001F64C1" w:rsidRDefault="001F64C1" w:rsidP="008D112A">
    <w:pPr>
      <w:pStyle w:val="Encabezado"/>
      <w:pBdr>
        <w:bottom w:val="single" w:sz="4" w:space="1" w:color="auto"/>
      </w:pBdr>
      <w:tabs>
        <w:tab w:val="center" w:pos="0"/>
      </w:tabs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OFICINA DE CONTROL INTERNO</w:t>
    </w:r>
  </w:p>
  <w:p w:rsidR="001F64C1" w:rsidRDefault="001F64C1" w:rsidP="0045271E">
    <w:pPr>
      <w:pStyle w:val="Encabezado"/>
      <w:ind w:firstLine="708"/>
    </w:pPr>
  </w:p>
  <w:p w:rsidR="001F64C1" w:rsidRDefault="001F64C1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CFB" w:rsidRDefault="00747CF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746"/>
    <w:multiLevelType w:val="hybridMultilevel"/>
    <w:tmpl w:val="34C4A1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E12E6"/>
    <w:multiLevelType w:val="hybridMultilevel"/>
    <w:tmpl w:val="875AFA8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2B27"/>
    <w:multiLevelType w:val="hybridMultilevel"/>
    <w:tmpl w:val="3ED6FC8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035AAC"/>
    <w:multiLevelType w:val="hybridMultilevel"/>
    <w:tmpl w:val="63F05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43FE1"/>
    <w:multiLevelType w:val="hybridMultilevel"/>
    <w:tmpl w:val="AC06E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9455E"/>
    <w:multiLevelType w:val="hybridMultilevel"/>
    <w:tmpl w:val="CB365B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AC0A05"/>
    <w:multiLevelType w:val="hybridMultilevel"/>
    <w:tmpl w:val="2C425F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E4DC1"/>
    <w:multiLevelType w:val="hybridMultilevel"/>
    <w:tmpl w:val="85A6B2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B3263"/>
    <w:multiLevelType w:val="hybridMultilevel"/>
    <w:tmpl w:val="946427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00E7A"/>
    <w:multiLevelType w:val="hybridMultilevel"/>
    <w:tmpl w:val="0E483B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43077"/>
    <w:multiLevelType w:val="hybridMultilevel"/>
    <w:tmpl w:val="4000BC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C3C"/>
    <w:rsid w:val="000030A6"/>
    <w:rsid w:val="00004848"/>
    <w:rsid w:val="00004B27"/>
    <w:rsid w:val="00006110"/>
    <w:rsid w:val="00006139"/>
    <w:rsid w:val="0001036E"/>
    <w:rsid w:val="00014734"/>
    <w:rsid w:val="000156B7"/>
    <w:rsid w:val="0001721C"/>
    <w:rsid w:val="00024EB3"/>
    <w:rsid w:val="00025DFB"/>
    <w:rsid w:val="0002670C"/>
    <w:rsid w:val="00027BDB"/>
    <w:rsid w:val="00030D78"/>
    <w:rsid w:val="00033DCA"/>
    <w:rsid w:val="00035279"/>
    <w:rsid w:val="000367FF"/>
    <w:rsid w:val="00037EB6"/>
    <w:rsid w:val="000404C6"/>
    <w:rsid w:val="00040E66"/>
    <w:rsid w:val="00041780"/>
    <w:rsid w:val="000417A3"/>
    <w:rsid w:val="00042AA7"/>
    <w:rsid w:val="00042CDC"/>
    <w:rsid w:val="000434BF"/>
    <w:rsid w:val="00044CEE"/>
    <w:rsid w:val="000502A4"/>
    <w:rsid w:val="00050ABC"/>
    <w:rsid w:val="000571D7"/>
    <w:rsid w:val="00063746"/>
    <w:rsid w:val="00070407"/>
    <w:rsid w:val="00070F6E"/>
    <w:rsid w:val="00071CC9"/>
    <w:rsid w:val="00072AC5"/>
    <w:rsid w:val="00074C41"/>
    <w:rsid w:val="00074F1C"/>
    <w:rsid w:val="00075E6F"/>
    <w:rsid w:val="000765A3"/>
    <w:rsid w:val="0008048B"/>
    <w:rsid w:val="00084650"/>
    <w:rsid w:val="00086038"/>
    <w:rsid w:val="00093C23"/>
    <w:rsid w:val="000969D0"/>
    <w:rsid w:val="000A0A6B"/>
    <w:rsid w:val="000A0BB0"/>
    <w:rsid w:val="000A21B4"/>
    <w:rsid w:val="000A3F70"/>
    <w:rsid w:val="000A44C9"/>
    <w:rsid w:val="000A5D46"/>
    <w:rsid w:val="000A5E6D"/>
    <w:rsid w:val="000A64E9"/>
    <w:rsid w:val="000A6A97"/>
    <w:rsid w:val="000B0163"/>
    <w:rsid w:val="000B0256"/>
    <w:rsid w:val="000B3AF1"/>
    <w:rsid w:val="000C1288"/>
    <w:rsid w:val="000C130A"/>
    <w:rsid w:val="000C5631"/>
    <w:rsid w:val="000C67D5"/>
    <w:rsid w:val="000C6DAE"/>
    <w:rsid w:val="000C7E79"/>
    <w:rsid w:val="000D0A53"/>
    <w:rsid w:val="000D1F07"/>
    <w:rsid w:val="000D25A3"/>
    <w:rsid w:val="000D3C66"/>
    <w:rsid w:val="000D6580"/>
    <w:rsid w:val="000D7324"/>
    <w:rsid w:val="000E001F"/>
    <w:rsid w:val="000E3A14"/>
    <w:rsid w:val="000E4F54"/>
    <w:rsid w:val="000E71A5"/>
    <w:rsid w:val="000F057B"/>
    <w:rsid w:val="000F3069"/>
    <w:rsid w:val="000F3176"/>
    <w:rsid w:val="000F6BEE"/>
    <w:rsid w:val="000F725F"/>
    <w:rsid w:val="000F7F45"/>
    <w:rsid w:val="00100BFF"/>
    <w:rsid w:val="00102B71"/>
    <w:rsid w:val="001030CB"/>
    <w:rsid w:val="001060B3"/>
    <w:rsid w:val="00107B7D"/>
    <w:rsid w:val="00107D57"/>
    <w:rsid w:val="00110413"/>
    <w:rsid w:val="0011435F"/>
    <w:rsid w:val="00114811"/>
    <w:rsid w:val="00114FC4"/>
    <w:rsid w:val="00116BC8"/>
    <w:rsid w:val="00120A7D"/>
    <w:rsid w:val="00125049"/>
    <w:rsid w:val="00125817"/>
    <w:rsid w:val="0012726B"/>
    <w:rsid w:val="001279A5"/>
    <w:rsid w:val="00130EDF"/>
    <w:rsid w:val="00131095"/>
    <w:rsid w:val="00131D99"/>
    <w:rsid w:val="00131E23"/>
    <w:rsid w:val="00135653"/>
    <w:rsid w:val="00135FC6"/>
    <w:rsid w:val="00142C64"/>
    <w:rsid w:val="0014347A"/>
    <w:rsid w:val="00143EEC"/>
    <w:rsid w:val="00150897"/>
    <w:rsid w:val="00151D08"/>
    <w:rsid w:val="00155D99"/>
    <w:rsid w:val="001569E3"/>
    <w:rsid w:val="00162EBC"/>
    <w:rsid w:val="00163792"/>
    <w:rsid w:val="00164F1C"/>
    <w:rsid w:val="00165C9F"/>
    <w:rsid w:val="00166F4B"/>
    <w:rsid w:val="00171627"/>
    <w:rsid w:val="00172751"/>
    <w:rsid w:val="001731D2"/>
    <w:rsid w:val="00175546"/>
    <w:rsid w:val="00181350"/>
    <w:rsid w:val="001829BB"/>
    <w:rsid w:val="00183A75"/>
    <w:rsid w:val="00184EE1"/>
    <w:rsid w:val="00185DA9"/>
    <w:rsid w:val="00186728"/>
    <w:rsid w:val="0019134F"/>
    <w:rsid w:val="00193E38"/>
    <w:rsid w:val="00197F65"/>
    <w:rsid w:val="001A2072"/>
    <w:rsid w:val="001A24F5"/>
    <w:rsid w:val="001A2940"/>
    <w:rsid w:val="001A4C28"/>
    <w:rsid w:val="001A61E9"/>
    <w:rsid w:val="001B1C24"/>
    <w:rsid w:val="001B5094"/>
    <w:rsid w:val="001C09D0"/>
    <w:rsid w:val="001C23F0"/>
    <w:rsid w:val="001C2672"/>
    <w:rsid w:val="001C38B3"/>
    <w:rsid w:val="001D0CC9"/>
    <w:rsid w:val="001D32B3"/>
    <w:rsid w:val="001D6A49"/>
    <w:rsid w:val="001E212D"/>
    <w:rsid w:val="001E486B"/>
    <w:rsid w:val="001E5379"/>
    <w:rsid w:val="001F64C1"/>
    <w:rsid w:val="001F66F3"/>
    <w:rsid w:val="00200FE1"/>
    <w:rsid w:val="0020106C"/>
    <w:rsid w:val="002035EF"/>
    <w:rsid w:val="00206208"/>
    <w:rsid w:val="00206F6B"/>
    <w:rsid w:val="002100BA"/>
    <w:rsid w:val="00210B25"/>
    <w:rsid w:val="00211D85"/>
    <w:rsid w:val="00214C9D"/>
    <w:rsid w:val="002201BD"/>
    <w:rsid w:val="00221A91"/>
    <w:rsid w:val="002238BF"/>
    <w:rsid w:val="00224AE0"/>
    <w:rsid w:val="00224C08"/>
    <w:rsid w:val="00231730"/>
    <w:rsid w:val="002323CD"/>
    <w:rsid w:val="00235816"/>
    <w:rsid w:val="0023667D"/>
    <w:rsid w:val="00240421"/>
    <w:rsid w:val="002469FB"/>
    <w:rsid w:val="002514B5"/>
    <w:rsid w:val="00251544"/>
    <w:rsid w:val="00251DDD"/>
    <w:rsid w:val="002523B8"/>
    <w:rsid w:val="00255A0F"/>
    <w:rsid w:val="00257163"/>
    <w:rsid w:val="00261309"/>
    <w:rsid w:val="00264944"/>
    <w:rsid w:val="0026544D"/>
    <w:rsid w:val="00271349"/>
    <w:rsid w:val="002725AF"/>
    <w:rsid w:val="00272EC5"/>
    <w:rsid w:val="00275492"/>
    <w:rsid w:val="0027649D"/>
    <w:rsid w:val="00276810"/>
    <w:rsid w:val="00280472"/>
    <w:rsid w:val="00280FAC"/>
    <w:rsid w:val="00282C9C"/>
    <w:rsid w:val="002842DF"/>
    <w:rsid w:val="0028537B"/>
    <w:rsid w:val="00292FCA"/>
    <w:rsid w:val="00294EA1"/>
    <w:rsid w:val="002973BA"/>
    <w:rsid w:val="002A0A42"/>
    <w:rsid w:val="002A16CE"/>
    <w:rsid w:val="002A31CD"/>
    <w:rsid w:val="002A68CA"/>
    <w:rsid w:val="002A757B"/>
    <w:rsid w:val="002B161E"/>
    <w:rsid w:val="002B1797"/>
    <w:rsid w:val="002B19C1"/>
    <w:rsid w:val="002B1E49"/>
    <w:rsid w:val="002B6465"/>
    <w:rsid w:val="002C192F"/>
    <w:rsid w:val="002D18A5"/>
    <w:rsid w:val="002D6BFD"/>
    <w:rsid w:val="002E15A1"/>
    <w:rsid w:val="002E73B3"/>
    <w:rsid w:val="002E7933"/>
    <w:rsid w:val="002F08D5"/>
    <w:rsid w:val="002F1AB3"/>
    <w:rsid w:val="002F1D39"/>
    <w:rsid w:val="002F3B7C"/>
    <w:rsid w:val="002F6BCC"/>
    <w:rsid w:val="003009A6"/>
    <w:rsid w:val="00301BB3"/>
    <w:rsid w:val="0030410E"/>
    <w:rsid w:val="00310C77"/>
    <w:rsid w:val="00310DCD"/>
    <w:rsid w:val="003113AB"/>
    <w:rsid w:val="00314A90"/>
    <w:rsid w:val="0031615F"/>
    <w:rsid w:val="00316832"/>
    <w:rsid w:val="00320E28"/>
    <w:rsid w:val="003327D0"/>
    <w:rsid w:val="00332EBC"/>
    <w:rsid w:val="003331E5"/>
    <w:rsid w:val="003351F8"/>
    <w:rsid w:val="003376BF"/>
    <w:rsid w:val="0034106F"/>
    <w:rsid w:val="00341B9A"/>
    <w:rsid w:val="00351DE9"/>
    <w:rsid w:val="0035370B"/>
    <w:rsid w:val="0035392A"/>
    <w:rsid w:val="003567D0"/>
    <w:rsid w:val="003568C1"/>
    <w:rsid w:val="00356D26"/>
    <w:rsid w:val="003576BC"/>
    <w:rsid w:val="003576E7"/>
    <w:rsid w:val="0035772A"/>
    <w:rsid w:val="00360614"/>
    <w:rsid w:val="00370B22"/>
    <w:rsid w:val="003723BC"/>
    <w:rsid w:val="00375AED"/>
    <w:rsid w:val="003808BA"/>
    <w:rsid w:val="00381551"/>
    <w:rsid w:val="003816D8"/>
    <w:rsid w:val="00381900"/>
    <w:rsid w:val="00387E09"/>
    <w:rsid w:val="00390D6D"/>
    <w:rsid w:val="00390E51"/>
    <w:rsid w:val="00393059"/>
    <w:rsid w:val="00393C63"/>
    <w:rsid w:val="003962FF"/>
    <w:rsid w:val="0039668E"/>
    <w:rsid w:val="00397386"/>
    <w:rsid w:val="003A0AE0"/>
    <w:rsid w:val="003A146E"/>
    <w:rsid w:val="003A3184"/>
    <w:rsid w:val="003A519C"/>
    <w:rsid w:val="003B75B2"/>
    <w:rsid w:val="003C0EDA"/>
    <w:rsid w:val="003D1DEC"/>
    <w:rsid w:val="003D24A7"/>
    <w:rsid w:val="003E18A4"/>
    <w:rsid w:val="003E6520"/>
    <w:rsid w:val="003F6C15"/>
    <w:rsid w:val="004013F2"/>
    <w:rsid w:val="004026D7"/>
    <w:rsid w:val="00412183"/>
    <w:rsid w:val="004124A5"/>
    <w:rsid w:val="00420CFE"/>
    <w:rsid w:val="00423F41"/>
    <w:rsid w:val="00426614"/>
    <w:rsid w:val="00431E5F"/>
    <w:rsid w:val="0043292C"/>
    <w:rsid w:val="00436535"/>
    <w:rsid w:val="0044173F"/>
    <w:rsid w:val="00443111"/>
    <w:rsid w:val="00443F7D"/>
    <w:rsid w:val="004501C7"/>
    <w:rsid w:val="0045271E"/>
    <w:rsid w:val="00452A0E"/>
    <w:rsid w:val="0045459C"/>
    <w:rsid w:val="004547EA"/>
    <w:rsid w:val="00457C42"/>
    <w:rsid w:val="004603EC"/>
    <w:rsid w:val="00461E48"/>
    <w:rsid w:val="00465499"/>
    <w:rsid w:val="004714A1"/>
    <w:rsid w:val="0047217B"/>
    <w:rsid w:val="00475DA6"/>
    <w:rsid w:val="004778E3"/>
    <w:rsid w:val="00480531"/>
    <w:rsid w:val="00480B90"/>
    <w:rsid w:val="00481A01"/>
    <w:rsid w:val="00482993"/>
    <w:rsid w:val="00485956"/>
    <w:rsid w:val="00490CDE"/>
    <w:rsid w:val="00490E94"/>
    <w:rsid w:val="0049729E"/>
    <w:rsid w:val="004A3061"/>
    <w:rsid w:val="004A4636"/>
    <w:rsid w:val="004B3DF4"/>
    <w:rsid w:val="004C08C7"/>
    <w:rsid w:val="004C1926"/>
    <w:rsid w:val="004C36C7"/>
    <w:rsid w:val="004C70D0"/>
    <w:rsid w:val="004C7264"/>
    <w:rsid w:val="004D0FA8"/>
    <w:rsid w:val="004D1C28"/>
    <w:rsid w:val="004D32C3"/>
    <w:rsid w:val="004D3599"/>
    <w:rsid w:val="004E1E25"/>
    <w:rsid w:val="004E492E"/>
    <w:rsid w:val="004E71B8"/>
    <w:rsid w:val="004E7C47"/>
    <w:rsid w:val="004F0215"/>
    <w:rsid w:val="004F2298"/>
    <w:rsid w:val="004F324E"/>
    <w:rsid w:val="004F38D9"/>
    <w:rsid w:val="004F4289"/>
    <w:rsid w:val="00500354"/>
    <w:rsid w:val="00503BEB"/>
    <w:rsid w:val="00505631"/>
    <w:rsid w:val="00505E9B"/>
    <w:rsid w:val="00505F30"/>
    <w:rsid w:val="005073A7"/>
    <w:rsid w:val="005078A7"/>
    <w:rsid w:val="00507FC7"/>
    <w:rsid w:val="00511CBC"/>
    <w:rsid w:val="005205BE"/>
    <w:rsid w:val="00522C31"/>
    <w:rsid w:val="005265D6"/>
    <w:rsid w:val="00526D69"/>
    <w:rsid w:val="005307B2"/>
    <w:rsid w:val="00531C10"/>
    <w:rsid w:val="005352EC"/>
    <w:rsid w:val="005358E7"/>
    <w:rsid w:val="00536BC7"/>
    <w:rsid w:val="00536C4D"/>
    <w:rsid w:val="00537649"/>
    <w:rsid w:val="00537C00"/>
    <w:rsid w:val="00541E74"/>
    <w:rsid w:val="005528A3"/>
    <w:rsid w:val="005535AD"/>
    <w:rsid w:val="00553DDA"/>
    <w:rsid w:val="00554DEF"/>
    <w:rsid w:val="00555F0B"/>
    <w:rsid w:val="00556860"/>
    <w:rsid w:val="00556980"/>
    <w:rsid w:val="0056135E"/>
    <w:rsid w:val="0056238B"/>
    <w:rsid w:val="005676B7"/>
    <w:rsid w:val="00575351"/>
    <w:rsid w:val="00575CD9"/>
    <w:rsid w:val="0057602F"/>
    <w:rsid w:val="005771D8"/>
    <w:rsid w:val="0058176D"/>
    <w:rsid w:val="00583E71"/>
    <w:rsid w:val="00584810"/>
    <w:rsid w:val="00590426"/>
    <w:rsid w:val="00590A1A"/>
    <w:rsid w:val="00590D11"/>
    <w:rsid w:val="00591E55"/>
    <w:rsid w:val="00592363"/>
    <w:rsid w:val="00592831"/>
    <w:rsid w:val="00593927"/>
    <w:rsid w:val="00596117"/>
    <w:rsid w:val="005A4E1E"/>
    <w:rsid w:val="005A561D"/>
    <w:rsid w:val="005B430A"/>
    <w:rsid w:val="005B4A4A"/>
    <w:rsid w:val="005B6829"/>
    <w:rsid w:val="005C3978"/>
    <w:rsid w:val="005C6AB8"/>
    <w:rsid w:val="005C7473"/>
    <w:rsid w:val="005D484D"/>
    <w:rsid w:val="005D5407"/>
    <w:rsid w:val="005D54B4"/>
    <w:rsid w:val="005D60C4"/>
    <w:rsid w:val="005D6458"/>
    <w:rsid w:val="005D6AB5"/>
    <w:rsid w:val="005D6EC9"/>
    <w:rsid w:val="005F0230"/>
    <w:rsid w:val="005F2CF6"/>
    <w:rsid w:val="005F32E1"/>
    <w:rsid w:val="00601209"/>
    <w:rsid w:val="00601BCC"/>
    <w:rsid w:val="00602EF2"/>
    <w:rsid w:val="00603D8C"/>
    <w:rsid w:val="0060606E"/>
    <w:rsid w:val="00622EF6"/>
    <w:rsid w:val="00625489"/>
    <w:rsid w:val="00626494"/>
    <w:rsid w:val="00630C0D"/>
    <w:rsid w:val="00632120"/>
    <w:rsid w:val="00636D40"/>
    <w:rsid w:val="00637B4B"/>
    <w:rsid w:val="006402DD"/>
    <w:rsid w:val="0064152E"/>
    <w:rsid w:val="006439BF"/>
    <w:rsid w:val="00644444"/>
    <w:rsid w:val="00644713"/>
    <w:rsid w:val="00652D48"/>
    <w:rsid w:val="00653CD5"/>
    <w:rsid w:val="00654FFC"/>
    <w:rsid w:val="00656862"/>
    <w:rsid w:val="00656B99"/>
    <w:rsid w:val="00657AE4"/>
    <w:rsid w:val="00671230"/>
    <w:rsid w:val="00672E67"/>
    <w:rsid w:val="00675063"/>
    <w:rsid w:val="00676C57"/>
    <w:rsid w:val="006774F2"/>
    <w:rsid w:val="006801A1"/>
    <w:rsid w:val="00680DC5"/>
    <w:rsid w:val="00682177"/>
    <w:rsid w:val="00682813"/>
    <w:rsid w:val="0069424F"/>
    <w:rsid w:val="00696331"/>
    <w:rsid w:val="006964D8"/>
    <w:rsid w:val="00696703"/>
    <w:rsid w:val="00697DA2"/>
    <w:rsid w:val="006A21EC"/>
    <w:rsid w:val="006A3690"/>
    <w:rsid w:val="006A66EF"/>
    <w:rsid w:val="006B2BA4"/>
    <w:rsid w:val="006B7D52"/>
    <w:rsid w:val="006C0843"/>
    <w:rsid w:val="006C1E8A"/>
    <w:rsid w:val="006C431A"/>
    <w:rsid w:val="006C658B"/>
    <w:rsid w:val="006C67EB"/>
    <w:rsid w:val="006C7B81"/>
    <w:rsid w:val="006C7CDA"/>
    <w:rsid w:val="006D17B6"/>
    <w:rsid w:val="006D27A8"/>
    <w:rsid w:val="006D50C8"/>
    <w:rsid w:val="006E1CA8"/>
    <w:rsid w:val="006E67F3"/>
    <w:rsid w:val="006E67FA"/>
    <w:rsid w:val="006E6FEA"/>
    <w:rsid w:val="006F0841"/>
    <w:rsid w:val="006F10F8"/>
    <w:rsid w:val="006F3279"/>
    <w:rsid w:val="006F32A9"/>
    <w:rsid w:val="006F7208"/>
    <w:rsid w:val="00702996"/>
    <w:rsid w:val="00704629"/>
    <w:rsid w:val="00706439"/>
    <w:rsid w:val="00707C91"/>
    <w:rsid w:val="00710CD5"/>
    <w:rsid w:val="007115F5"/>
    <w:rsid w:val="00713FA7"/>
    <w:rsid w:val="007144DD"/>
    <w:rsid w:val="00714869"/>
    <w:rsid w:val="007164C5"/>
    <w:rsid w:val="00717F98"/>
    <w:rsid w:val="00720210"/>
    <w:rsid w:val="00720C49"/>
    <w:rsid w:val="00720F52"/>
    <w:rsid w:val="007215C0"/>
    <w:rsid w:val="00722C6B"/>
    <w:rsid w:val="00722D8C"/>
    <w:rsid w:val="007325C0"/>
    <w:rsid w:val="00733FFD"/>
    <w:rsid w:val="0073696A"/>
    <w:rsid w:val="00736B76"/>
    <w:rsid w:val="00736B89"/>
    <w:rsid w:val="00737959"/>
    <w:rsid w:val="00740331"/>
    <w:rsid w:val="00740BD1"/>
    <w:rsid w:val="00743B67"/>
    <w:rsid w:val="00743F63"/>
    <w:rsid w:val="00744C3C"/>
    <w:rsid w:val="007450B8"/>
    <w:rsid w:val="00746B42"/>
    <w:rsid w:val="00747CFB"/>
    <w:rsid w:val="007509C3"/>
    <w:rsid w:val="00751C9D"/>
    <w:rsid w:val="00757264"/>
    <w:rsid w:val="007603AB"/>
    <w:rsid w:val="00760644"/>
    <w:rsid w:val="0076158D"/>
    <w:rsid w:val="007624AD"/>
    <w:rsid w:val="00762E3F"/>
    <w:rsid w:val="00764599"/>
    <w:rsid w:val="00764878"/>
    <w:rsid w:val="00765DDE"/>
    <w:rsid w:val="00770AAF"/>
    <w:rsid w:val="0077138B"/>
    <w:rsid w:val="007718F3"/>
    <w:rsid w:val="007762D3"/>
    <w:rsid w:val="00780A48"/>
    <w:rsid w:val="0078369F"/>
    <w:rsid w:val="00784C42"/>
    <w:rsid w:val="007862D6"/>
    <w:rsid w:val="00786897"/>
    <w:rsid w:val="0079590C"/>
    <w:rsid w:val="0079626C"/>
    <w:rsid w:val="007A021E"/>
    <w:rsid w:val="007A18D3"/>
    <w:rsid w:val="007A2456"/>
    <w:rsid w:val="007A3001"/>
    <w:rsid w:val="007A5E2D"/>
    <w:rsid w:val="007A7684"/>
    <w:rsid w:val="007B0177"/>
    <w:rsid w:val="007B399C"/>
    <w:rsid w:val="007B69A4"/>
    <w:rsid w:val="007C0D8D"/>
    <w:rsid w:val="007C2135"/>
    <w:rsid w:val="007C746D"/>
    <w:rsid w:val="007D09CA"/>
    <w:rsid w:val="007D2661"/>
    <w:rsid w:val="007D4682"/>
    <w:rsid w:val="007D46E7"/>
    <w:rsid w:val="007D4871"/>
    <w:rsid w:val="007D5633"/>
    <w:rsid w:val="007D7B3D"/>
    <w:rsid w:val="007E0E66"/>
    <w:rsid w:val="007E2ED3"/>
    <w:rsid w:val="007E3C0D"/>
    <w:rsid w:val="007E4DB0"/>
    <w:rsid w:val="007F2B35"/>
    <w:rsid w:val="007F2E21"/>
    <w:rsid w:val="007F5512"/>
    <w:rsid w:val="007F5E9C"/>
    <w:rsid w:val="007F7BFF"/>
    <w:rsid w:val="0080147F"/>
    <w:rsid w:val="00801EA6"/>
    <w:rsid w:val="00801F5F"/>
    <w:rsid w:val="008050FE"/>
    <w:rsid w:val="00810016"/>
    <w:rsid w:val="00817042"/>
    <w:rsid w:val="00817677"/>
    <w:rsid w:val="008225EC"/>
    <w:rsid w:val="00825295"/>
    <w:rsid w:val="00826AD6"/>
    <w:rsid w:val="0082719A"/>
    <w:rsid w:val="008277BA"/>
    <w:rsid w:val="00827A12"/>
    <w:rsid w:val="00833480"/>
    <w:rsid w:val="0083665A"/>
    <w:rsid w:val="00836672"/>
    <w:rsid w:val="00842711"/>
    <w:rsid w:val="008437C6"/>
    <w:rsid w:val="00843BD7"/>
    <w:rsid w:val="00851346"/>
    <w:rsid w:val="0085185F"/>
    <w:rsid w:val="00852674"/>
    <w:rsid w:val="0085295D"/>
    <w:rsid w:val="00852ADF"/>
    <w:rsid w:val="008534FD"/>
    <w:rsid w:val="00856150"/>
    <w:rsid w:val="00857975"/>
    <w:rsid w:val="0086546B"/>
    <w:rsid w:val="00867827"/>
    <w:rsid w:val="00874119"/>
    <w:rsid w:val="00874C8A"/>
    <w:rsid w:val="00874E4C"/>
    <w:rsid w:val="00876D3B"/>
    <w:rsid w:val="008771F5"/>
    <w:rsid w:val="0088107F"/>
    <w:rsid w:val="00882D35"/>
    <w:rsid w:val="008839D0"/>
    <w:rsid w:val="00884F74"/>
    <w:rsid w:val="008856B3"/>
    <w:rsid w:val="00887F23"/>
    <w:rsid w:val="008939B3"/>
    <w:rsid w:val="0089474D"/>
    <w:rsid w:val="00896A7A"/>
    <w:rsid w:val="0089750E"/>
    <w:rsid w:val="0089783D"/>
    <w:rsid w:val="008A38D8"/>
    <w:rsid w:val="008A3A9E"/>
    <w:rsid w:val="008A6D5D"/>
    <w:rsid w:val="008B20CE"/>
    <w:rsid w:val="008B4471"/>
    <w:rsid w:val="008B50AA"/>
    <w:rsid w:val="008B7A57"/>
    <w:rsid w:val="008C3F90"/>
    <w:rsid w:val="008C67DC"/>
    <w:rsid w:val="008D004C"/>
    <w:rsid w:val="008D112A"/>
    <w:rsid w:val="008D4D61"/>
    <w:rsid w:val="008D727E"/>
    <w:rsid w:val="008E07AD"/>
    <w:rsid w:val="008E1FAA"/>
    <w:rsid w:val="008E5738"/>
    <w:rsid w:val="008F0243"/>
    <w:rsid w:val="008F463F"/>
    <w:rsid w:val="008F4856"/>
    <w:rsid w:val="008F6213"/>
    <w:rsid w:val="008F650C"/>
    <w:rsid w:val="008F7D9D"/>
    <w:rsid w:val="009059AC"/>
    <w:rsid w:val="00906A99"/>
    <w:rsid w:val="00906E87"/>
    <w:rsid w:val="00911E5D"/>
    <w:rsid w:val="00911FC3"/>
    <w:rsid w:val="00921AA9"/>
    <w:rsid w:val="00924263"/>
    <w:rsid w:val="00925946"/>
    <w:rsid w:val="00927333"/>
    <w:rsid w:val="00930DC5"/>
    <w:rsid w:val="0093394F"/>
    <w:rsid w:val="0093558C"/>
    <w:rsid w:val="0093751A"/>
    <w:rsid w:val="009412FA"/>
    <w:rsid w:val="00943F85"/>
    <w:rsid w:val="00946963"/>
    <w:rsid w:val="00947382"/>
    <w:rsid w:val="00947C9A"/>
    <w:rsid w:val="009502F5"/>
    <w:rsid w:val="009520D2"/>
    <w:rsid w:val="00953888"/>
    <w:rsid w:val="00953F45"/>
    <w:rsid w:val="00954CE6"/>
    <w:rsid w:val="0095587A"/>
    <w:rsid w:val="009559D2"/>
    <w:rsid w:val="0095764B"/>
    <w:rsid w:val="00957A91"/>
    <w:rsid w:val="00961CE5"/>
    <w:rsid w:val="009664FB"/>
    <w:rsid w:val="009710D5"/>
    <w:rsid w:val="00972892"/>
    <w:rsid w:val="0097633F"/>
    <w:rsid w:val="0098051D"/>
    <w:rsid w:val="00982D61"/>
    <w:rsid w:val="009837FD"/>
    <w:rsid w:val="00983B73"/>
    <w:rsid w:val="0098488A"/>
    <w:rsid w:val="00987857"/>
    <w:rsid w:val="009905F4"/>
    <w:rsid w:val="009913B7"/>
    <w:rsid w:val="0099201C"/>
    <w:rsid w:val="009969B4"/>
    <w:rsid w:val="009A2BAC"/>
    <w:rsid w:val="009A7571"/>
    <w:rsid w:val="009B4FFD"/>
    <w:rsid w:val="009C1B2A"/>
    <w:rsid w:val="009C2003"/>
    <w:rsid w:val="009C3216"/>
    <w:rsid w:val="009C4DBB"/>
    <w:rsid w:val="009C4EAF"/>
    <w:rsid w:val="009C61E9"/>
    <w:rsid w:val="009C6877"/>
    <w:rsid w:val="009C7734"/>
    <w:rsid w:val="009D679B"/>
    <w:rsid w:val="009E04D6"/>
    <w:rsid w:val="009E08C0"/>
    <w:rsid w:val="009E165F"/>
    <w:rsid w:val="009E72E6"/>
    <w:rsid w:val="009E78B2"/>
    <w:rsid w:val="009F1AA0"/>
    <w:rsid w:val="009F480E"/>
    <w:rsid w:val="009F51FF"/>
    <w:rsid w:val="009F5524"/>
    <w:rsid w:val="00A02A35"/>
    <w:rsid w:val="00A0367E"/>
    <w:rsid w:val="00A036BF"/>
    <w:rsid w:val="00A067D2"/>
    <w:rsid w:val="00A07F34"/>
    <w:rsid w:val="00A101E9"/>
    <w:rsid w:val="00A1268B"/>
    <w:rsid w:val="00A12907"/>
    <w:rsid w:val="00A13BA0"/>
    <w:rsid w:val="00A14656"/>
    <w:rsid w:val="00A20797"/>
    <w:rsid w:val="00A23518"/>
    <w:rsid w:val="00A26AA3"/>
    <w:rsid w:val="00A27512"/>
    <w:rsid w:val="00A30B1D"/>
    <w:rsid w:val="00A31033"/>
    <w:rsid w:val="00A31053"/>
    <w:rsid w:val="00A31413"/>
    <w:rsid w:val="00A317DA"/>
    <w:rsid w:val="00A346F0"/>
    <w:rsid w:val="00A35DA6"/>
    <w:rsid w:val="00A3642F"/>
    <w:rsid w:val="00A421D3"/>
    <w:rsid w:val="00A42B21"/>
    <w:rsid w:val="00A42B42"/>
    <w:rsid w:val="00A469A3"/>
    <w:rsid w:val="00A47A60"/>
    <w:rsid w:val="00A47EFE"/>
    <w:rsid w:val="00A5525C"/>
    <w:rsid w:val="00A55C74"/>
    <w:rsid w:val="00A61664"/>
    <w:rsid w:val="00A64621"/>
    <w:rsid w:val="00A67260"/>
    <w:rsid w:val="00A71BF7"/>
    <w:rsid w:val="00A7268B"/>
    <w:rsid w:val="00A75E07"/>
    <w:rsid w:val="00A76521"/>
    <w:rsid w:val="00A80B4A"/>
    <w:rsid w:val="00A80E2E"/>
    <w:rsid w:val="00A80EB0"/>
    <w:rsid w:val="00A81B7F"/>
    <w:rsid w:val="00A86454"/>
    <w:rsid w:val="00A86B9A"/>
    <w:rsid w:val="00A9404B"/>
    <w:rsid w:val="00AA0B48"/>
    <w:rsid w:val="00AA0BF4"/>
    <w:rsid w:val="00AA5DA9"/>
    <w:rsid w:val="00AB1504"/>
    <w:rsid w:val="00AB28AF"/>
    <w:rsid w:val="00AB42C9"/>
    <w:rsid w:val="00AB44D3"/>
    <w:rsid w:val="00AC1A90"/>
    <w:rsid w:val="00AC437F"/>
    <w:rsid w:val="00AD48E9"/>
    <w:rsid w:val="00AD51FB"/>
    <w:rsid w:val="00AD5CFC"/>
    <w:rsid w:val="00AD6D55"/>
    <w:rsid w:val="00AD7C96"/>
    <w:rsid w:val="00AE14DC"/>
    <w:rsid w:val="00AE3508"/>
    <w:rsid w:val="00AE3C6F"/>
    <w:rsid w:val="00AE45BE"/>
    <w:rsid w:val="00AE697E"/>
    <w:rsid w:val="00AF081A"/>
    <w:rsid w:val="00AF32F8"/>
    <w:rsid w:val="00B0027C"/>
    <w:rsid w:val="00B0492D"/>
    <w:rsid w:val="00B06FA4"/>
    <w:rsid w:val="00B1161A"/>
    <w:rsid w:val="00B25BC0"/>
    <w:rsid w:val="00B25CD9"/>
    <w:rsid w:val="00B30C52"/>
    <w:rsid w:val="00B31EE5"/>
    <w:rsid w:val="00B32ECF"/>
    <w:rsid w:val="00B333FA"/>
    <w:rsid w:val="00B37EDC"/>
    <w:rsid w:val="00B42223"/>
    <w:rsid w:val="00B44480"/>
    <w:rsid w:val="00B538DC"/>
    <w:rsid w:val="00B5560C"/>
    <w:rsid w:val="00B5757B"/>
    <w:rsid w:val="00B57D00"/>
    <w:rsid w:val="00B627D5"/>
    <w:rsid w:val="00B6360C"/>
    <w:rsid w:val="00B63614"/>
    <w:rsid w:val="00B65F45"/>
    <w:rsid w:val="00B671E5"/>
    <w:rsid w:val="00B70D11"/>
    <w:rsid w:val="00B71128"/>
    <w:rsid w:val="00B716E4"/>
    <w:rsid w:val="00B7413F"/>
    <w:rsid w:val="00B7475B"/>
    <w:rsid w:val="00B75331"/>
    <w:rsid w:val="00B75B9C"/>
    <w:rsid w:val="00B76A6E"/>
    <w:rsid w:val="00B77B17"/>
    <w:rsid w:val="00B81DD5"/>
    <w:rsid w:val="00B83131"/>
    <w:rsid w:val="00B85210"/>
    <w:rsid w:val="00B87695"/>
    <w:rsid w:val="00B90EEB"/>
    <w:rsid w:val="00B91A8F"/>
    <w:rsid w:val="00B91D48"/>
    <w:rsid w:val="00B95E97"/>
    <w:rsid w:val="00B965B3"/>
    <w:rsid w:val="00B96965"/>
    <w:rsid w:val="00BA086C"/>
    <w:rsid w:val="00BA132D"/>
    <w:rsid w:val="00BA2931"/>
    <w:rsid w:val="00BA5BF6"/>
    <w:rsid w:val="00BA6C75"/>
    <w:rsid w:val="00BA6FB6"/>
    <w:rsid w:val="00BB2C0B"/>
    <w:rsid w:val="00BB46D6"/>
    <w:rsid w:val="00BC2A0C"/>
    <w:rsid w:val="00BC340C"/>
    <w:rsid w:val="00BC3724"/>
    <w:rsid w:val="00BC7ED2"/>
    <w:rsid w:val="00BC7F9A"/>
    <w:rsid w:val="00BD1186"/>
    <w:rsid w:val="00BD2804"/>
    <w:rsid w:val="00BD2A34"/>
    <w:rsid w:val="00BD44C5"/>
    <w:rsid w:val="00BE4B69"/>
    <w:rsid w:val="00BE7549"/>
    <w:rsid w:val="00BF1055"/>
    <w:rsid w:val="00BF1F60"/>
    <w:rsid w:val="00BF3378"/>
    <w:rsid w:val="00BF6953"/>
    <w:rsid w:val="00C01216"/>
    <w:rsid w:val="00C02554"/>
    <w:rsid w:val="00C0590F"/>
    <w:rsid w:val="00C1281C"/>
    <w:rsid w:val="00C1298D"/>
    <w:rsid w:val="00C14AD0"/>
    <w:rsid w:val="00C14C91"/>
    <w:rsid w:val="00C24894"/>
    <w:rsid w:val="00C27D4B"/>
    <w:rsid w:val="00C33394"/>
    <w:rsid w:val="00C34E24"/>
    <w:rsid w:val="00C3562B"/>
    <w:rsid w:val="00C41926"/>
    <w:rsid w:val="00C41EEF"/>
    <w:rsid w:val="00C43D63"/>
    <w:rsid w:val="00C47A2F"/>
    <w:rsid w:val="00C50761"/>
    <w:rsid w:val="00C50C8B"/>
    <w:rsid w:val="00C51F53"/>
    <w:rsid w:val="00C536E4"/>
    <w:rsid w:val="00C5510E"/>
    <w:rsid w:val="00C60F2F"/>
    <w:rsid w:val="00C61E38"/>
    <w:rsid w:val="00C62E13"/>
    <w:rsid w:val="00C64F75"/>
    <w:rsid w:val="00C65525"/>
    <w:rsid w:val="00C65725"/>
    <w:rsid w:val="00C71ECB"/>
    <w:rsid w:val="00C744B0"/>
    <w:rsid w:val="00C76145"/>
    <w:rsid w:val="00C80DAE"/>
    <w:rsid w:val="00C80DD4"/>
    <w:rsid w:val="00C82A11"/>
    <w:rsid w:val="00C82F6C"/>
    <w:rsid w:val="00C90409"/>
    <w:rsid w:val="00C91873"/>
    <w:rsid w:val="00C93868"/>
    <w:rsid w:val="00CA0D56"/>
    <w:rsid w:val="00CA12D1"/>
    <w:rsid w:val="00CA146A"/>
    <w:rsid w:val="00CA2B97"/>
    <w:rsid w:val="00CA3691"/>
    <w:rsid w:val="00CA524C"/>
    <w:rsid w:val="00CA5BE7"/>
    <w:rsid w:val="00CB17CB"/>
    <w:rsid w:val="00CB3E7A"/>
    <w:rsid w:val="00CB6350"/>
    <w:rsid w:val="00CC199F"/>
    <w:rsid w:val="00CC24F6"/>
    <w:rsid w:val="00CC25E4"/>
    <w:rsid w:val="00CC52CC"/>
    <w:rsid w:val="00CD1974"/>
    <w:rsid w:val="00CD2B6D"/>
    <w:rsid w:val="00CD7856"/>
    <w:rsid w:val="00CE2F6F"/>
    <w:rsid w:val="00CE3119"/>
    <w:rsid w:val="00CE71EA"/>
    <w:rsid w:val="00CF197A"/>
    <w:rsid w:val="00CF34E6"/>
    <w:rsid w:val="00CF6B1B"/>
    <w:rsid w:val="00CF75B3"/>
    <w:rsid w:val="00D00A18"/>
    <w:rsid w:val="00D00F38"/>
    <w:rsid w:val="00D01AAB"/>
    <w:rsid w:val="00D02F12"/>
    <w:rsid w:val="00D04E6F"/>
    <w:rsid w:val="00D066A9"/>
    <w:rsid w:val="00D06B35"/>
    <w:rsid w:val="00D10305"/>
    <w:rsid w:val="00D10F8F"/>
    <w:rsid w:val="00D12159"/>
    <w:rsid w:val="00D124A8"/>
    <w:rsid w:val="00D143C1"/>
    <w:rsid w:val="00D14760"/>
    <w:rsid w:val="00D14E61"/>
    <w:rsid w:val="00D1600A"/>
    <w:rsid w:val="00D167F5"/>
    <w:rsid w:val="00D17928"/>
    <w:rsid w:val="00D2002E"/>
    <w:rsid w:val="00D23304"/>
    <w:rsid w:val="00D2452D"/>
    <w:rsid w:val="00D2525E"/>
    <w:rsid w:val="00D272EB"/>
    <w:rsid w:val="00D27496"/>
    <w:rsid w:val="00D27DF5"/>
    <w:rsid w:val="00D27F27"/>
    <w:rsid w:val="00D34D2E"/>
    <w:rsid w:val="00D35B05"/>
    <w:rsid w:val="00D3731F"/>
    <w:rsid w:val="00D41121"/>
    <w:rsid w:val="00D46DCA"/>
    <w:rsid w:val="00D47853"/>
    <w:rsid w:val="00D546B5"/>
    <w:rsid w:val="00D554E0"/>
    <w:rsid w:val="00D5697F"/>
    <w:rsid w:val="00D615FE"/>
    <w:rsid w:val="00D63783"/>
    <w:rsid w:val="00D643BC"/>
    <w:rsid w:val="00D65558"/>
    <w:rsid w:val="00D66103"/>
    <w:rsid w:val="00D67C0E"/>
    <w:rsid w:val="00D72173"/>
    <w:rsid w:val="00D752EB"/>
    <w:rsid w:val="00D7681A"/>
    <w:rsid w:val="00D76BA7"/>
    <w:rsid w:val="00D81A85"/>
    <w:rsid w:val="00D82178"/>
    <w:rsid w:val="00D82338"/>
    <w:rsid w:val="00D8492E"/>
    <w:rsid w:val="00D85C31"/>
    <w:rsid w:val="00D91360"/>
    <w:rsid w:val="00D91F1B"/>
    <w:rsid w:val="00D9450F"/>
    <w:rsid w:val="00D97E31"/>
    <w:rsid w:val="00DA082B"/>
    <w:rsid w:val="00DA09CA"/>
    <w:rsid w:val="00DA179C"/>
    <w:rsid w:val="00DA4D28"/>
    <w:rsid w:val="00DA59E8"/>
    <w:rsid w:val="00DA7182"/>
    <w:rsid w:val="00DA74D4"/>
    <w:rsid w:val="00DA77D0"/>
    <w:rsid w:val="00DB0C28"/>
    <w:rsid w:val="00DB17A4"/>
    <w:rsid w:val="00DB1B39"/>
    <w:rsid w:val="00DB39B0"/>
    <w:rsid w:val="00DB3A2D"/>
    <w:rsid w:val="00DC043D"/>
    <w:rsid w:val="00DC0B1B"/>
    <w:rsid w:val="00DC1F78"/>
    <w:rsid w:val="00DC61AD"/>
    <w:rsid w:val="00DC6C1B"/>
    <w:rsid w:val="00DD54C1"/>
    <w:rsid w:val="00DD78A6"/>
    <w:rsid w:val="00DE1316"/>
    <w:rsid w:val="00DE523E"/>
    <w:rsid w:val="00DE6295"/>
    <w:rsid w:val="00DE7154"/>
    <w:rsid w:val="00DF3AE8"/>
    <w:rsid w:val="00DF655E"/>
    <w:rsid w:val="00E01365"/>
    <w:rsid w:val="00E04D0A"/>
    <w:rsid w:val="00E05568"/>
    <w:rsid w:val="00E05736"/>
    <w:rsid w:val="00E10983"/>
    <w:rsid w:val="00E11D27"/>
    <w:rsid w:val="00E12EDB"/>
    <w:rsid w:val="00E13577"/>
    <w:rsid w:val="00E22099"/>
    <w:rsid w:val="00E255B8"/>
    <w:rsid w:val="00E264DF"/>
    <w:rsid w:val="00E30509"/>
    <w:rsid w:val="00E31B41"/>
    <w:rsid w:val="00E322A3"/>
    <w:rsid w:val="00E33F0B"/>
    <w:rsid w:val="00E35818"/>
    <w:rsid w:val="00E370A2"/>
    <w:rsid w:val="00E45F12"/>
    <w:rsid w:val="00E5652E"/>
    <w:rsid w:val="00E56C7B"/>
    <w:rsid w:val="00E613D9"/>
    <w:rsid w:val="00E61950"/>
    <w:rsid w:val="00E64C11"/>
    <w:rsid w:val="00E65F14"/>
    <w:rsid w:val="00E66CEA"/>
    <w:rsid w:val="00E66DAE"/>
    <w:rsid w:val="00E67F75"/>
    <w:rsid w:val="00E70966"/>
    <w:rsid w:val="00E714CD"/>
    <w:rsid w:val="00E7383D"/>
    <w:rsid w:val="00E76418"/>
    <w:rsid w:val="00E77E16"/>
    <w:rsid w:val="00E8126A"/>
    <w:rsid w:val="00E82052"/>
    <w:rsid w:val="00E820A3"/>
    <w:rsid w:val="00E83C2C"/>
    <w:rsid w:val="00E8417E"/>
    <w:rsid w:val="00E85C1C"/>
    <w:rsid w:val="00E85EE3"/>
    <w:rsid w:val="00E923F6"/>
    <w:rsid w:val="00E92D37"/>
    <w:rsid w:val="00E93DDA"/>
    <w:rsid w:val="00EA2AA3"/>
    <w:rsid w:val="00EA4408"/>
    <w:rsid w:val="00EA5342"/>
    <w:rsid w:val="00EB1910"/>
    <w:rsid w:val="00EB2CBA"/>
    <w:rsid w:val="00EB309D"/>
    <w:rsid w:val="00EB6FC5"/>
    <w:rsid w:val="00EB7733"/>
    <w:rsid w:val="00EC204D"/>
    <w:rsid w:val="00EC31BB"/>
    <w:rsid w:val="00EC6EB7"/>
    <w:rsid w:val="00EE0B2A"/>
    <w:rsid w:val="00EE24FC"/>
    <w:rsid w:val="00EE392E"/>
    <w:rsid w:val="00EF504F"/>
    <w:rsid w:val="00EF6732"/>
    <w:rsid w:val="00EF7401"/>
    <w:rsid w:val="00EF76D7"/>
    <w:rsid w:val="00F01A86"/>
    <w:rsid w:val="00F01AEE"/>
    <w:rsid w:val="00F059A7"/>
    <w:rsid w:val="00F0680C"/>
    <w:rsid w:val="00F06C4C"/>
    <w:rsid w:val="00F07067"/>
    <w:rsid w:val="00F07FD8"/>
    <w:rsid w:val="00F1219A"/>
    <w:rsid w:val="00F15111"/>
    <w:rsid w:val="00F16A68"/>
    <w:rsid w:val="00F16DE6"/>
    <w:rsid w:val="00F20225"/>
    <w:rsid w:val="00F2046E"/>
    <w:rsid w:val="00F209BE"/>
    <w:rsid w:val="00F272C8"/>
    <w:rsid w:val="00F31769"/>
    <w:rsid w:val="00F3178F"/>
    <w:rsid w:val="00F31F71"/>
    <w:rsid w:val="00F32174"/>
    <w:rsid w:val="00F33B10"/>
    <w:rsid w:val="00F35D1A"/>
    <w:rsid w:val="00F372AA"/>
    <w:rsid w:val="00F41F22"/>
    <w:rsid w:val="00F42482"/>
    <w:rsid w:val="00F45344"/>
    <w:rsid w:val="00F57817"/>
    <w:rsid w:val="00F63059"/>
    <w:rsid w:val="00F713B4"/>
    <w:rsid w:val="00F7697B"/>
    <w:rsid w:val="00F840D1"/>
    <w:rsid w:val="00F84693"/>
    <w:rsid w:val="00F84698"/>
    <w:rsid w:val="00F877DB"/>
    <w:rsid w:val="00F91E2B"/>
    <w:rsid w:val="00F92387"/>
    <w:rsid w:val="00FA3938"/>
    <w:rsid w:val="00FA633D"/>
    <w:rsid w:val="00FA795F"/>
    <w:rsid w:val="00FB211A"/>
    <w:rsid w:val="00FC1453"/>
    <w:rsid w:val="00FC26A7"/>
    <w:rsid w:val="00FC495F"/>
    <w:rsid w:val="00FC6424"/>
    <w:rsid w:val="00FD2244"/>
    <w:rsid w:val="00FE21FE"/>
    <w:rsid w:val="00FE4562"/>
    <w:rsid w:val="00FE6439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4C3C"/>
    <w:rPr>
      <w:b/>
      <w:bCs/>
    </w:rPr>
  </w:style>
  <w:style w:type="character" w:styleId="Hipervnculo">
    <w:name w:val="Hyperlink"/>
    <w:basedOn w:val="Fuentedeprrafopredeter"/>
    <w:unhideWhenUsed/>
    <w:rsid w:val="00744C3C"/>
    <w:rPr>
      <w:color w:val="0000FF"/>
      <w:u w:val="single"/>
    </w:rPr>
  </w:style>
  <w:style w:type="paragraph" w:styleId="Sinespaciado">
    <w:name w:val="No Spacing"/>
    <w:uiPriority w:val="1"/>
    <w:qFormat/>
    <w:rsid w:val="000B0163"/>
    <w:pPr>
      <w:spacing w:after="0" w:line="240" w:lineRule="auto"/>
    </w:pPr>
  </w:style>
  <w:style w:type="paragraph" w:customStyle="1" w:styleId="Default">
    <w:name w:val="Default"/>
    <w:rsid w:val="005A5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B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53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536E4"/>
  </w:style>
  <w:style w:type="paragraph" w:styleId="Piedepgina">
    <w:name w:val="footer"/>
    <w:basedOn w:val="Normal"/>
    <w:link w:val="PiedepginaCar"/>
    <w:unhideWhenUsed/>
    <w:rsid w:val="00C53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536E4"/>
  </w:style>
  <w:style w:type="table" w:styleId="Tablaconcuadrcula">
    <w:name w:val="Table Grid"/>
    <w:basedOn w:val="Tablanormal"/>
    <w:uiPriority w:val="59"/>
    <w:rsid w:val="0072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7">
    <w:name w:val="Pa17"/>
    <w:basedOn w:val="Default"/>
    <w:next w:val="Default"/>
    <w:uiPriority w:val="99"/>
    <w:rsid w:val="006964D8"/>
    <w:pPr>
      <w:spacing w:line="24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2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79626C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A0A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44C3C"/>
    <w:rPr>
      <w:b/>
      <w:bCs/>
    </w:rPr>
  </w:style>
  <w:style w:type="character" w:styleId="Hipervnculo">
    <w:name w:val="Hyperlink"/>
    <w:basedOn w:val="Fuentedeprrafopredeter"/>
    <w:unhideWhenUsed/>
    <w:rsid w:val="00744C3C"/>
    <w:rPr>
      <w:color w:val="0000FF"/>
      <w:u w:val="single"/>
    </w:rPr>
  </w:style>
  <w:style w:type="paragraph" w:styleId="Sinespaciado">
    <w:name w:val="No Spacing"/>
    <w:uiPriority w:val="1"/>
    <w:qFormat/>
    <w:rsid w:val="000B0163"/>
    <w:pPr>
      <w:spacing w:after="0" w:line="240" w:lineRule="auto"/>
    </w:pPr>
  </w:style>
  <w:style w:type="paragraph" w:customStyle="1" w:styleId="Default">
    <w:name w:val="Default"/>
    <w:rsid w:val="005A5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5B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5BE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53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536E4"/>
  </w:style>
  <w:style w:type="paragraph" w:styleId="Piedepgina">
    <w:name w:val="footer"/>
    <w:basedOn w:val="Normal"/>
    <w:link w:val="PiedepginaCar"/>
    <w:unhideWhenUsed/>
    <w:rsid w:val="00C536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536E4"/>
  </w:style>
  <w:style w:type="table" w:styleId="Tablaconcuadrcula">
    <w:name w:val="Table Grid"/>
    <w:basedOn w:val="Tablanormal"/>
    <w:uiPriority w:val="59"/>
    <w:rsid w:val="007202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7">
    <w:name w:val="Pa17"/>
    <w:basedOn w:val="Default"/>
    <w:next w:val="Default"/>
    <w:uiPriority w:val="99"/>
    <w:rsid w:val="006964D8"/>
    <w:pPr>
      <w:spacing w:line="241" w:lineRule="atLeast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2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79626C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A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contraloriasai.gov.co/index.php/gestion/rendicion-de-cuenta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atos.gov.co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gdsai@telecom.com.co" TargetMode="External"/><Relationship Id="rId2" Type="http://schemas.openxmlformats.org/officeDocument/2006/relationships/hyperlink" Target="http://www.contraloriasai.gov.co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ontraloriasai.gov.co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8F1E-16CF-495B-B31B-BB1C19A6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2112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Jacke</dc:creator>
  <cp:lastModifiedBy>Yakelin Manuel</cp:lastModifiedBy>
  <cp:revision>4</cp:revision>
  <cp:lastPrinted>2017-07-13T17:04:00Z</cp:lastPrinted>
  <dcterms:created xsi:type="dcterms:W3CDTF">2017-07-14T23:21:00Z</dcterms:created>
  <dcterms:modified xsi:type="dcterms:W3CDTF">2017-07-15T00:11:00Z</dcterms:modified>
</cp:coreProperties>
</file>